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080" w:hanging="1081" w:hangingChars="300"/>
        <w:jc w:val="center"/>
        <w:rPr>
          <w:rFonts w:hint="eastAsia" w:ascii="微软雅黑" w:hAnsi="微软雅黑" w:eastAsia="微软雅黑" w:cs="仿宋"/>
          <w:b/>
          <w:sz w:val="36"/>
          <w:szCs w:val="36"/>
          <w:lang w:val="en-US" w:eastAsia="zh-CN"/>
        </w:rPr>
      </w:pPr>
      <w:r>
        <w:rPr>
          <w:rFonts w:hint="eastAsia" w:ascii="微软雅黑" w:hAnsi="微软雅黑" w:eastAsia="微软雅黑" w:cs="仿宋"/>
          <w:b/>
          <w:sz w:val="36"/>
          <w:szCs w:val="36"/>
        </w:rPr>
        <w:t>南山区医疗集团</w:t>
      </w:r>
      <w:r>
        <w:rPr>
          <w:rFonts w:hint="eastAsia" w:ascii="微软雅黑" w:hAnsi="微软雅黑" w:eastAsia="微软雅黑" w:cs="仿宋"/>
          <w:b/>
          <w:sz w:val="36"/>
          <w:szCs w:val="36"/>
          <w:lang w:val="en-US" w:eastAsia="zh-CN"/>
        </w:rPr>
        <w:t>总部</w:t>
      </w:r>
    </w:p>
    <w:p>
      <w:pPr>
        <w:spacing w:line="500" w:lineRule="exact"/>
        <w:ind w:left="1080" w:hanging="1081" w:hangingChars="300"/>
        <w:jc w:val="center"/>
        <w:rPr>
          <w:rFonts w:ascii="微软雅黑" w:hAnsi="微软雅黑" w:eastAsia="微软雅黑" w:cs="仿宋"/>
          <w:b/>
          <w:sz w:val="36"/>
          <w:szCs w:val="36"/>
        </w:rPr>
      </w:pPr>
      <w:r>
        <w:rPr>
          <w:rFonts w:hint="eastAsia" w:ascii="微软雅黑" w:hAnsi="微软雅黑" w:eastAsia="微软雅黑" w:cs="仿宋"/>
          <w:b/>
          <w:sz w:val="36"/>
          <w:szCs w:val="36"/>
        </w:rPr>
        <w:t>非税缴费系统项目需求</w:t>
      </w:r>
    </w:p>
    <w:p>
      <w:pPr>
        <w:pStyle w:val="3"/>
        <w:rPr>
          <w:rFonts w:ascii="微软雅黑" w:hAnsi="微软雅黑"/>
        </w:rPr>
      </w:pPr>
      <w:r>
        <w:rPr>
          <w:rFonts w:hint="eastAsia" w:ascii="微软雅黑" w:hAnsi="微软雅黑"/>
        </w:rPr>
        <w:t>项目名称</w:t>
      </w:r>
    </w:p>
    <w:p>
      <w:pPr>
        <w:spacing w:line="360" w:lineRule="auto"/>
        <w:ind w:firstLine="480" w:firstLineChars="200"/>
        <w:rPr>
          <w:rFonts w:ascii="微软雅黑" w:hAnsi="微软雅黑" w:eastAsia="微软雅黑" w:cs="仿宋"/>
          <w:sz w:val="24"/>
          <w:szCs w:val="24"/>
        </w:rPr>
      </w:pPr>
      <w:r>
        <w:rPr>
          <w:rFonts w:hint="eastAsia" w:ascii="微软雅黑" w:hAnsi="微软雅黑" w:eastAsia="微软雅黑" w:cs="仿宋"/>
          <w:sz w:val="24"/>
          <w:szCs w:val="24"/>
        </w:rPr>
        <w:t>南山区医疗集团</w:t>
      </w:r>
      <w:r>
        <w:rPr>
          <w:rFonts w:hint="eastAsia" w:ascii="微软雅黑" w:hAnsi="微软雅黑" w:eastAsia="微软雅黑" w:cs="仿宋"/>
          <w:sz w:val="24"/>
          <w:szCs w:val="24"/>
          <w:lang w:val="en-US" w:eastAsia="zh-CN"/>
        </w:rPr>
        <w:t>总部</w:t>
      </w:r>
      <w:r>
        <w:rPr>
          <w:rFonts w:hint="eastAsia" w:ascii="微软雅黑" w:hAnsi="微软雅黑" w:eastAsia="微软雅黑" w:cs="仿宋"/>
          <w:sz w:val="24"/>
          <w:szCs w:val="24"/>
        </w:rPr>
        <w:t>非税缴费系统项目</w:t>
      </w:r>
    </w:p>
    <w:p>
      <w:pPr>
        <w:pStyle w:val="3"/>
        <w:rPr>
          <w:rFonts w:ascii="微软雅黑" w:hAnsi="微软雅黑"/>
        </w:rPr>
      </w:pPr>
      <w:r>
        <w:rPr>
          <w:rFonts w:hint="eastAsia" w:ascii="微软雅黑" w:hAnsi="微软雅黑"/>
        </w:rPr>
        <w:t>项目背景</w:t>
      </w:r>
    </w:p>
    <w:p>
      <w:pPr>
        <w:spacing w:line="360" w:lineRule="auto"/>
        <w:ind w:firstLine="480"/>
        <w:rPr>
          <w:rFonts w:ascii="微软雅黑" w:hAnsi="微软雅黑" w:eastAsia="微软雅黑"/>
          <w:sz w:val="24"/>
          <w:szCs w:val="24"/>
        </w:rPr>
      </w:pPr>
      <w:r>
        <w:rPr>
          <w:rFonts w:hint="eastAsia" w:ascii="微软雅黑" w:hAnsi="微软雅黑" w:eastAsia="微软雅黑" w:cs="仿宋"/>
          <w:sz w:val="24"/>
          <w:szCs w:val="24"/>
        </w:rPr>
        <w:t xml:space="preserve"> </w:t>
      </w:r>
      <w:r>
        <w:rPr>
          <w:rFonts w:hint="eastAsia" w:ascii="微软雅黑" w:hAnsi="微软雅黑" w:eastAsia="微软雅黑"/>
          <w:sz w:val="24"/>
          <w:szCs w:val="24"/>
        </w:rPr>
        <w:t>2016年以来，国务院陆续发布《国务院关于加快推进“互联网+政务服务”工作的指导意见》（国发〔2016〕55号）、《国务院办公厅关于印发“互联网+政务服务”技术体系建设指南的通知》（国办函〔2016〕108号）。2018年4月12日，国务院总理李克强主持召开国务院常务会议，确定发展“互联网+医疗健康”措施，鼓励创新网上服务模式，积极利用第三方平台开展在线支付服务。如何在收缴电子化改革的同时借助互联网和移动互联网等新兴支付手段提高收缴效率、提升缴款体验，加快推进“互联网+医疗健康”，已经成为医疗行业共同面临的现实问题。为加快构建医院“互联网+医疗健康”服务体系，推动医院职能转变，提升医院服务水平，最大程度利企便民，医院在HIS系统的基础上，通过增加互联网支付渠道等缴费功能，让互联网与医疗服务深度融合，大幅提升医院服务智慧化、精准化、便捷化水平，使医院服务流程显著优化，服务形式更加多元，服务渠道更为畅通，缴款人及家属满意度显著提升，让缴款人就医办事更方便、更快捷、更有效率</w:t>
      </w:r>
    </w:p>
    <w:p>
      <w:pPr>
        <w:spacing w:line="360" w:lineRule="auto"/>
        <w:ind w:firstLine="480"/>
        <w:rPr>
          <w:rFonts w:ascii="微软雅黑" w:hAnsi="微软雅黑" w:eastAsia="微软雅黑"/>
          <w:sz w:val="24"/>
          <w:szCs w:val="24"/>
        </w:rPr>
      </w:pPr>
      <w:r>
        <w:rPr>
          <w:rFonts w:hint="eastAsia" w:ascii="微软雅黑" w:hAnsi="微软雅黑" w:eastAsia="微软雅黑"/>
          <w:sz w:val="24"/>
          <w:szCs w:val="24"/>
        </w:rPr>
        <w:t>2019年1月1日，政府会计准则制度在全国各级各类行政事业单位全面施行，在新施行的政府会计准则制度中，会计核算方式不仅提高了会计信息质量，还大幅提高了资金使用效益，实现了政府单位财务管理水平质的飞跃。在政府会计改革的大背景下，会计科目等发生了很大变化，对账工作也需进行相应调整。其中，对账工作主要涉及账证核对、账账核对、账实核对，通过对账，可以有效提高会计信息质量，实现资产的完整性与安全性，是单位发展中十分重要的关键所在。在此背景下，建设一套数据完整、覆盖全面的“统一对账平台”，是单位响应国家政策要求，贯彻落实财政部门和相关监管机构要求的迫切需要，也是单位加强资金收缴和内控监督，提高自身财务管理水平，提升数字化运行效能的迫切需要</w:t>
      </w:r>
      <w:r>
        <w:rPr>
          <w:rFonts w:hint="eastAsia" w:ascii="微软雅黑" w:hAnsi="微软雅黑" w:eastAsia="微软雅黑" w:cs="仿宋"/>
          <w:sz w:val="24"/>
          <w:szCs w:val="24"/>
        </w:rPr>
        <w:t>。</w:t>
      </w:r>
    </w:p>
    <w:p>
      <w:pPr>
        <w:pStyle w:val="3"/>
        <w:rPr>
          <w:rFonts w:ascii="微软雅黑" w:hAnsi="微软雅黑"/>
        </w:rPr>
      </w:pPr>
      <w:r>
        <w:rPr>
          <w:rFonts w:hint="eastAsia" w:ascii="微软雅黑" w:hAnsi="微软雅黑"/>
        </w:rPr>
        <w:t>项目现状</w:t>
      </w:r>
    </w:p>
    <w:p>
      <w:pPr>
        <w:spacing w:line="360" w:lineRule="auto"/>
        <w:ind w:firstLine="480" w:firstLineChars="200"/>
        <w:rPr>
          <w:rFonts w:ascii="微软雅黑" w:hAnsi="微软雅黑" w:eastAsia="微软雅黑"/>
          <w:sz w:val="24"/>
          <w:szCs w:val="28"/>
        </w:rPr>
      </w:pPr>
      <w:r>
        <w:rPr>
          <w:rFonts w:hint="eastAsia" w:ascii="微软雅黑" w:hAnsi="微软雅黑" w:eastAsia="微软雅黑"/>
          <w:sz w:val="24"/>
          <w:szCs w:val="28"/>
        </w:rPr>
        <w:t>目前深圳市南山区医疗集团</w:t>
      </w:r>
      <w:r>
        <w:rPr>
          <w:rFonts w:hint="eastAsia" w:ascii="微软雅黑" w:hAnsi="微软雅黑" w:eastAsia="微软雅黑"/>
          <w:sz w:val="24"/>
          <w:szCs w:val="28"/>
          <w:lang w:val="en-US" w:eastAsia="zh-CN"/>
        </w:rPr>
        <w:t>总部</w:t>
      </w:r>
      <w:r>
        <w:rPr>
          <w:rFonts w:hint="eastAsia" w:ascii="微软雅黑" w:hAnsi="微软雅黑" w:eastAsia="微软雅黑"/>
          <w:sz w:val="24"/>
          <w:szCs w:val="28"/>
        </w:rPr>
        <w:t>下属所管理的社康负责疫苗接种服务，目前存在3</w:t>
      </w:r>
      <w:r>
        <w:rPr>
          <w:rFonts w:ascii="微软雅黑" w:hAnsi="微软雅黑" w:eastAsia="微软雅黑"/>
          <w:sz w:val="24"/>
          <w:szCs w:val="28"/>
        </w:rPr>
        <w:t>7</w:t>
      </w:r>
      <w:r>
        <w:rPr>
          <w:rFonts w:hint="eastAsia" w:ascii="微软雅黑" w:hAnsi="微软雅黑" w:eastAsia="微软雅黑"/>
          <w:sz w:val="24"/>
          <w:szCs w:val="28"/>
        </w:rPr>
        <w:t>种二类疫苗接种服务，而在整个二类疫苗接种中存在两部分费用：分别为疫苗接种服务费及疫苗费用。按照管理规定疫苗接种服务费属于财政非税收入，需要全额上缴财政，同时开具财政</w:t>
      </w:r>
      <w:r>
        <w:rPr>
          <w:rFonts w:hint="eastAsia" w:ascii="微软雅黑" w:hAnsi="微软雅黑" w:eastAsia="微软雅黑"/>
          <w:sz w:val="24"/>
          <w:szCs w:val="28"/>
          <w:lang w:val="en-US" w:eastAsia="zh-CN"/>
        </w:rPr>
        <w:t>一般</w:t>
      </w:r>
      <w:r>
        <w:rPr>
          <w:rFonts w:hint="eastAsia" w:ascii="微软雅黑" w:hAnsi="微软雅黑" w:eastAsia="微软雅黑"/>
          <w:sz w:val="24"/>
          <w:szCs w:val="28"/>
        </w:rPr>
        <w:t>电子缴款书，而疫苗费用属于医疗收费，将留存医疗单位并开具医疗电子票据。目前存在主要问题如下：</w:t>
      </w:r>
    </w:p>
    <w:p>
      <w:pPr>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（一）电子缴款书开具难</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目前各个社康医院无法及时登录财政非税业务管理系统页面端开具电子缴款书，还未实现二类疫苗接种费用中的疫苗接种服务费（非税收入）直缴财政，并直接开具财政</w:t>
      </w:r>
      <w:r>
        <w:rPr>
          <w:rFonts w:hint="eastAsia" w:ascii="微软雅黑" w:hAnsi="微软雅黑" w:eastAsia="微软雅黑"/>
          <w:sz w:val="24"/>
          <w:szCs w:val="28"/>
          <w:lang w:val="en-US" w:eastAsia="zh-CN"/>
        </w:rPr>
        <w:t>一般电子缴款书</w:t>
      </w:r>
      <w:r>
        <w:rPr>
          <w:rFonts w:hint="eastAsia" w:ascii="微软雅黑" w:hAnsi="微软雅黑" w:eastAsia="微软雅黑"/>
          <w:sz w:val="24"/>
          <w:szCs w:val="28"/>
        </w:rPr>
        <w:t>。</w:t>
      </w:r>
    </w:p>
    <w:p>
      <w:pPr>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（二）无法实现非税费用的收缴</w:t>
      </w:r>
      <w:r>
        <w:rPr>
          <w:rFonts w:ascii="微软雅黑" w:hAnsi="微软雅黑" w:eastAsia="微软雅黑"/>
          <w:b/>
          <w:bCs/>
          <w:sz w:val="24"/>
          <w:szCs w:val="28"/>
        </w:rPr>
        <w:t xml:space="preserve"> </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因二类疫苗接种费中包含医疗收费及财政非税收入，两部分资金需分别进入不同银行账户，目前无法实现非税资金的收缴，需进一步解决此问题，从而符合财政非税收入收缴要求。</w:t>
      </w:r>
    </w:p>
    <w:p>
      <w:pPr>
        <w:spacing w:line="360" w:lineRule="auto"/>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（三）无法实现各系统间自动对账、线上退付、多维度报表展现</w:t>
      </w:r>
    </w:p>
    <w:p>
      <w:pPr>
        <w:spacing w:line="360" w:lineRule="auto"/>
        <w:ind w:firstLine="480"/>
        <w:rPr>
          <w:rFonts w:ascii="微软雅黑" w:hAnsi="微软雅黑" w:eastAsia="微软雅黑"/>
          <w:sz w:val="24"/>
          <w:szCs w:val="28"/>
        </w:rPr>
      </w:pPr>
      <w:r>
        <w:rPr>
          <w:rFonts w:hint="eastAsia" w:ascii="微软雅黑" w:hAnsi="微软雅黑" w:eastAsia="微软雅黑"/>
          <w:sz w:val="24"/>
          <w:szCs w:val="28"/>
        </w:rPr>
        <w:t>医院业务管理系统、支付渠道、财政非税系统等多系统无法实现自动对账工作，医疗缴费业务管理平台缺位导致无法有效利用数据价值，展现多维度报表，诸如：缴费报表、缴费明细报表等。</w:t>
      </w:r>
    </w:p>
    <w:p>
      <w:pPr>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（四）无法实现“业务办理、互联网在线缴费、电子票据开具”一站式服务</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整体业务管理模式，无法实现业务办理、互联网在线缴费、电子票据一站式服务模式，影响“互联网+医疗健康”整体建设进程。</w:t>
      </w:r>
    </w:p>
    <w:p>
      <w:pPr>
        <w:spacing w:line="360" w:lineRule="auto"/>
        <w:ind w:firstLine="480" w:firstLineChars="200"/>
        <w:rPr>
          <w:rFonts w:ascii="微软雅黑" w:hAnsi="微软雅黑" w:eastAsia="微软雅黑" w:cs="仿宋"/>
          <w:sz w:val="24"/>
          <w:szCs w:val="24"/>
        </w:rPr>
      </w:pPr>
    </w:p>
    <w:p>
      <w:pPr>
        <w:spacing w:line="360" w:lineRule="auto"/>
        <w:ind w:firstLine="480" w:firstLineChars="200"/>
        <w:rPr>
          <w:rFonts w:ascii="微软雅黑" w:hAnsi="微软雅黑" w:eastAsia="微软雅黑" w:cs="仿宋"/>
          <w:sz w:val="24"/>
          <w:szCs w:val="24"/>
        </w:rPr>
      </w:pPr>
    </w:p>
    <w:p>
      <w:pPr>
        <w:pStyle w:val="3"/>
        <w:rPr>
          <w:rFonts w:ascii="微软雅黑" w:hAnsi="微软雅黑"/>
        </w:rPr>
      </w:pPr>
      <w:r>
        <w:rPr>
          <w:rFonts w:hint="eastAsia" w:ascii="微软雅黑" w:hAnsi="微软雅黑"/>
        </w:rPr>
        <w:t>项目需求</w:t>
      </w:r>
    </w:p>
    <w:p>
      <w:pPr>
        <w:pStyle w:val="4"/>
      </w:pPr>
      <w:r>
        <w:rPr>
          <w:rFonts w:hint="eastAsia"/>
        </w:rPr>
        <w:t>合规性需求分析</w:t>
      </w:r>
    </w:p>
    <w:p>
      <w:pPr>
        <w:pStyle w:val="30"/>
        <w:numPr>
          <w:ilvl w:val="0"/>
          <w:numId w:val="2"/>
        </w:numPr>
        <w:ind w:left="142" w:hanging="142" w:firstLineChars="0"/>
        <w:rPr>
          <w:rFonts w:ascii="微软雅黑" w:hAnsi="微软雅黑" w:eastAsia="微软雅黑"/>
          <w:sz w:val="24"/>
          <w:szCs w:val="24"/>
        </w:rPr>
      </w:pPr>
      <w:r>
        <w:rPr>
          <w:rFonts w:hint="eastAsia" w:ascii="微软雅黑" w:hAnsi="微软雅黑" w:eastAsia="微软雅黑"/>
          <w:sz w:val="24"/>
          <w:szCs w:val="24"/>
        </w:rPr>
        <w:t>《国务院关于加快推进“互联网+政务服务”工作的指导意见》（国发〔2016〕55号）、《国务院办公厅关于印发“互联网+政务服务”技术体系建设指南的通知》（国办函〔2016〕108号）</w:t>
      </w:r>
    </w:p>
    <w:p>
      <w:pPr>
        <w:spacing w:line="360" w:lineRule="auto"/>
        <w:ind w:firstLine="440" w:firstLineChars="200"/>
        <w:rPr>
          <w:rFonts w:ascii="微软雅黑" w:hAnsi="微软雅黑" w:eastAsia="微软雅黑"/>
          <w:sz w:val="22"/>
          <w:szCs w:val="24"/>
        </w:rPr>
      </w:pPr>
      <w:r>
        <w:rPr>
          <w:rFonts w:hint="eastAsia" w:ascii="微软雅黑" w:hAnsi="微软雅黑" w:eastAsia="微软雅黑"/>
          <w:sz w:val="22"/>
          <w:szCs w:val="24"/>
        </w:rPr>
        <w:t>鼓励各部门创新网上服务模式，积极利用第三方平台开展在线支付服务。在收缴电子化改革的同时借助互联网和移动互联网等新兴支付手段提高收缴效率、提升缴款体验，加快推进“互联网+政务服务”。</w:t>
      </w:r>
    </w:p>
    <w:p>
      <w:pPr>
        <w:pStyle w:val="30"/>
        <w:numPr>
          <w:ilvl w:val="0"/>
          <w:numId w:val="2"/>
        </w:numPr>
        <w:ind w:firstLineChars="0"/>
      </w:pPr>
      <w:r>
        <w:rPr>
          <w:rFonts w:hint="eastAsia" w:ascii="微软雅黑" w:hAnsi="微软雅黑" w:eastAsia="微软雅黑"/>
          <w:sz w:val="24"/>
          <w:szCs w:val="24"/>
        </w:rPr>
        <w:t>《财政部关于加快推进地方政府非税收入收缴电子化管理工作的通知》（财库〔2017〕7号）</w:t>
      </w:r>
    </w:p>
    <w:p>
      <w:pPr>
        <w:spacing w:line="360" w:lineRule="auto"/>
        <w:ind w:firstLine="440" w:firstLineChars="200"/>
        <w:rPr>
          <w:rFonts w:ascii="微软雅黑" w:hAnsi="微软雅黑" w:eastAsia="微软雅黑"/>
          <w:sz w:val="22"/>
          <w:szCs w:val="24"/>
        </w:rPr>
      </w:pPr>
      <w:r>
        <w:rPr>
          <w:rFonts w:hint="eastAsia" w:ascii="微软雅黑" w:hAnsi="微软雅黑" w:eastAsia="微软雅黑"/>
          <w:sz w:val="22"/>
          <w:szCs w:val="24"/>
        </w:rPr>
        <w:t>作为全国统一缴款渠道载体的财政电子缴款通用接口（适配器）正在全国范围内铺开，为实现非税收缴信息互联互通、拓展多种缴款渠道、为缴款人提供便捷的缴款服务打下了基础。</w:t>
      </w:r>
    </w:p>
    <w:p>
      <w:pPr>
        <w:pStyle w:val="30"/>
        <w:numPr>
          <w:ilvl w:val="0"/>
          <w:numId w:val="2"/>
        </w:numPr>
        <w:ind w:firstLineChars="0"/>
        <w:rPr>
          <w:rFonts w:ascii="微软雅黑" w:hAnsi="微软雅黑" w:eastAsia="微软雅黑"/>
          <w:sz w:val="24"/>
          <w:szCs w:val="24"/>
        </w:rPr>
      </w:pPr>
      <w:r>
        <w:rPr>
          <w:rFonts w:ascii="微软雅黑" w:hAnsi="微软雅黑" w:eastAsia="微软雅黑"/>
          <w:sz w:val="24"/>
          <w:szCs w:val="24"/>
        </w:rPr>
        <w:t>《关于请核定非免疫规划疫苗预防接种服务费收费标准的函》(粤卫财务函[2020]107号)</w:t>
      </w:r>
    </w:p>
    <w:p>
      <w:pPr>
        <w:spacing w:line="360" w:lineRule="auto"/>
        <w:ind w:firstLine="440" w:firstLineChars="200"/>
        <w:rPr>
          <w:rFonts w:ascii="微软雅黑" w:hAnsi="微软雅黑" w:eastAsia="微软雅黑"/>
          <w:sz w:val="22"/>
          <w:szCs w:val="24"/>
        </w:rPr>
      </w:pPr>
      <w:r>
        <w:rPr>
          <w:rFonts w:ascii="微软雅黑" w:hAnsi="微软雅黑" w:eastAsia="微软雅黑"/>
          <w:sz w:val="22"/>
          <w:szCs w:val="24"/>
        </w:rPr>
        <w:t>根据《中华人民共和国国疫苗管理法》《广东省行政事业性收费管理条例》等有关规定，经省人民政府同意，现函复如下:</w:t>
      </w:r>
    </w:p>
    <w:p>
      <w:pPr>
        <w:spacing w:line="360" w:lineRule="auto"/>
        <w:ind w:firstLine="440" w:firstLineChars="200"/>
        <w:rPr>
          <w:rFonts w:ascii="微软雅黑" w:hAnsi="微软雅黑" w:eastAsia="微软雅黑"/>
          <w:sz w:val="22"/>
          <w:szCs w:val="24"/>
        </w:rPr>
      </w:pPr>
      <w:r>
        <w:rPr>
          <w:rFonts w:ascii="微软雅黑" w:hAnsi="微软雅黑" w:eastAsia="微软雅黑"/>
          <w:sz w:val="22"/>
          <w:szCs w:val="24"/>
        </w:rPr>
        <w:t>一、非免疫规划疫苗，是指由居民自愿接种的除政府规定的免疫规划疫苗以外的其他疫苗。我省非免疫规划疫苗预防接种服服务费收费标准调整为21元/剂次(包括接种耗材费)，国家和省另有规定的除外。</w:t>
      </w:r>
    </w:p>
    <w:p>
      <w:pPr>
        <w:spacing w:line="360" w:lineRule="auto"/>
        <w:ind w:firstLine="440" w:firstLineChars="200"/>
        <w:rPr>
          <w:rFonts w:ascii="微软雅黑" w:hAnsi="微软雅黑" w:eastAsia="微软雅黑"/>
          <w:sz w:val="22"/>
          <w:szCs w:val="24"/>
        </w:rPr>
      </w:pPr>
      <w:r>
        <w:rPr>
          <w:rFonts w:ascii="微软雅黑" w:hAnsi="微软雅黑" w:eastAsia="微软雅黑"/>
          <w:sz w:val="22"/>
          <w:szCs w:val="24"/>
        </w:rPr>
        <w:t>二、非免疫规划疫苗预防接种服务费属于国家定项目的行政事业性收费，任何单位和个人不得擅自减免收费、增加收费项目目、扩大收费范围、调整收费标准和坐收坐支。各级财政不再就本次收费标准调整另行安排相关经费。</w:t>
      </w:r>
    </w:p>
    <w:p>
      <w:pPr>
        <w:spacing w:line="360" w:lineRule="auto"/>
        <w:ind w:firstLine="440" w:firstLineChars="200"/>
        <w:rPr>
          <w:rFonts w:ascii="微软雅黑" w:hAnsi="微软雅黑" w:eastAsia="微软雅黑"/>
          <w:sz w:val="22"/>
          <w:szCs w:val="24"/>
        </w:rPr>
      </w:pPr>
      <w:r>
        <w:rPr>
          <w:rFonts w:ascii="微软雅黑" w:hAnsi="微软雅黑" w:eastAsia="微软雅黑"/>
          <w:sz w:val="22"/>
          <w:szCs w:val="24"/>
        </w:rPr>
        <w:t>三、本通知自2021年10月20日起执行，《广东省发展改革委广东省财政厅关于继续延长非免疫规划疫苗预防接种服务费收费标准的通知》(粤发改价格函[2021]332号)同时废止。执行期间如遇国家和省相关政策调整，按新政策执行。</w:t>
      </w:r>
    </w:p>
    <w:p>
      <w:pPr>
        <w:pStyle w:val="4"/>
      </w:pPr>
      <w:r>
        <w:rPr>
          <w:rFonts w:hint="eastAsia"/>
        </w:rPr>
        <w:t>业务需求分析</w:t>
      </w:r>
    </w:p>
    <w:p>
      <w:pPr>
        <w:spacing w:line="360" w:lineRule="auto"/>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（1）建设</w:t>
      </w:r>
      <w:r>
        <w:rPr>
          <w:rFonts w:hint="eastAsia" w:ascii="微软雅黑" w:hAnsi="微软雅黑" w:eastAsia="微软雅黑"/>
          <w:b/>
          <w:bCs/>
          <w:sz w:val="24"/>
          <w:szCs w:val="28"/>
          <w:lang w:val="en-US" w:eastAsia="zh-CN"/>
        </w:rPr>
        <w:t>非税直缴系统</w:t>
      </w:r>
    </w:p>
    <w:p>
      <w:pPr>
        <w:spacing w:line="360" w:lineRule="auto"/>
        <w:ind w:firstLine="480" w:firstLineChars="200"/>
        <w:rPr>
          <w:rFonts w:ascii="微软雅黑" w:hAnsi="微软雅黑" w:eastAsia="微软雅黑"/>
          <w:sz w:val="24"/>
          <w:szCs w:val="28"/>
        </w:rPr>
      </w:pPr>
      <w:r>
        <w:rPr>
          <w:rFonts w:hint="eastAsia" w:ascii="微软雅黑" w:hAnsi="微软雅黑" w:eastAsia="微软雅黑"/>
          <w:sz w:val="24"/>
          <w:szCs w:val="28"/>
        </w:rPr>
        <w:t>建设非税直缴系统，打通财政非税系统、财政票据系统，实现医院单位非税收入收缴互联网缴费、电子票据开具（财政电子票据）。完成和非税系统（含适配器）间自动对账，形成一站式服务。让缴款人的缴款选择更丰富、更灵活，缴款更方便，缴费体验更优化。</w:t>
      </w:r>
    </w:p>
    <w:p>
      <w:pPr>
        <w:spacing w:line="360" w:lineRule="auto"/>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（2）完成医院H</w:t>
      </w:r>
      <w:r>
        <w:rPr>
          <w:rFonts w:ascii="微软雅黑" w:hAnsi="微软雅黑" w:eastAsia="微软雅黑"/>
          <w:b/>
          <w:bCs/>
          <w:sz w:val="24"/>
          <w:szCs w:val="28"/>
        </w:rPr>
        <w:t>IS</w:t>
      </w:r>
      <w:r>
        <w:rPr>
          <w:rFonts w:hint="eastAsia" w:ascii="微软雅黑" w:hAnsi="微软雅黑" w:eastAsia="微软雅黑"/>
          <w:b/>
          <w:bCs/>
          <w:sz w:val="24"/>
          <w:szCs w:val="28"/>
        </w:rPr>
        <w:t>系统与非税直缴系统对接</w:t>
      </w:r>
    </w:p>
    <w:p>
      <w:pPr>
        <w:spacing w:line="360" w:lineRule="auto"/>
        <w:ind w:firstLine="480" w:firstLineChars="200"/>
        <w:rPr>
          <w:rFonts w:ascii="微软雅黑" w:hAnsi="微软雅黑" w:eastAsia="微软雅黑"/>
          <w:sz w:val="24"/>
          <w:szCs w:val="28"/>
        </w:rPr>
      </w:pPr>
      <w:r>
        <w:rPr>
          <w:rFonts w:hint="eastAsia" w:ascii="微软雅黑" w:hAnsi="微软雅黑" w:eastAsia="微软雅黑"/>
          <w:sz w:val="24"/>
          <w:szCs w:val="28"/>
        </w:rPr>
        <w:t>完成医院H</w:t>
      </w:r>
      <w:r>
        <w:rPr>
          <w:rFonts w:ascii="微软雅黑" w:hAnsi="微软雅黑" w:eastAsia="微软雅黑"/>
          <w:sz w:val="24"/>
          <w:szCs w:val="28"/>
        </w:rPr>
        <w:t>IS</w:t>
      </w:r>
      <w:r>
        <w:rPr>
          <w:rFonts w:hint="eastAsia" w:ascii="微软雅黑" w:hAnsi="微软雅黑" w:eastAsia="微软雅黑"/>
          <w:sz w:val="24"/>
          <w:szCs w:val="28"/>
        </w:rPr>
        <w:t>业务系统与非税直缴系统对接，实现业务订单的交互，完成缴费后缴费结果的反馈，电子票据信息的回传，对账信息的反馈等。</w:t>
      </w:r>
    </w:p>
    <w:p>
      <w:pPr>
        <w:spacing w:line="360" w:lineRule="auto"/>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（3）完成非税直缴系统与支付渠道对接</w:t>
      </w:r>
    </w:p>
    <w:p>
      <w:pPr>
        <w:spacing w:line="360" w:lineRule="auto"/>
        <w:ind w:firstLine="480" w:firstLineChars="200"/>
        <w:rPr>
          <w:rFonts w:ascii="微软雅黑" w:hAnsi="微软雅黑" w:eastAsia="微软雅黑"/>
          <w:sz w:val="24"/>
          <w:szCs w:val="28"/>
        </w:rPr>
      </w:pPr>
      <w:r>
        <w:rPr>
          <w:rFonts w:hint="eastAsia" w:ascii="微软雅黑" w:hAnsi="微软雅黑" w:eastAsia="微软雅黑"/>
          <w:sz w:val="24"/>
          <w:szCs w:val="28"/>
        </w:rPr>
        <w:t>完成非税直缴系统与支付渠道的对接，丰富缴费方式，实现缴费订单的交互，缴费业务的信息同步，对账信息的反馈等。</w:t>
      </w:r>
    </w:p>
    <w:p>
      <w:pPr>
        <w:spacing w:line="360" w:lineRule="auto"/>
        <w:ind w:firstLine="480" w:firstLineChars="200"/>
        <w:rPr>
          <w:rFonts w:ascii="微软雅黑" w:hAnsi="微软雅黑" w:eastAsia="微软雅黑"/>
          <w:b/>
          <w:bCs/>
          <w:sz w:val="24"/>
          <w:szCs w:val="28"/>
        </w:rPr>
      </w:pPr>
      <w:r>
        <w:rPr>
          <w:rFonts w:hint="eastAsia" w:ascii="微软雅黑" w:hAnsi="微软雅黑" w:eastAsia="微软雅黑"/>
          <w:b/>
          <w:bCs/>
          <w:sz w:val="24"/>
          <w:szCs w:val="28"/>
        </w:rPr>
        <w:t>（4）建设后台管理模块，提升单位管理水平</w:t>
      </w:r>
    </w:p>
    <w:p>
      <w:pPr>
        <w:spacing w:line="360" w:lineRule="auto"/>
        <w:ind w:firstLine="480" w:firstLineChars="200"/>
        <w:rPr>
          <w:rFonts w:ascii="微软雅黑" w:hAnsi="微软雅黑" w:eastAsia="微软雅黑"/>
          <w:sz w:val="24"/>
          <w:szCs w:val="28"/>
        </w:rPr>
      </w:pPr>
      <w:r>
        <w:rPr>
          <w:rFonts w:hint="eastAsia" w:ascii="微软雅黑" w:hAnsi="微软雅黑" w:eastAsia="微软雅黑"/>
          <w:sz w:val="24"/>
          <w:szCs w:val="28"/>
        </w:rPr>
        <w:t>后台管理模块是用于管理人员对平台缴费数据的查询管理，包括参数维护管理、交易接口维护、交易监控、对账管理、日志查询、报表查询等功能；</w:t>
      </w:r>
    </w:p>
    <w:p>
      <w:pPr>
        <w:widowControl/>
        <w:jc w:val="left"/>
        <w:rPr>
          <w:rFonts w:ascii="微软雅黑" w:hAnsi="微软雅黑" w:eastAsia="微软雅黑"/>
          <w:sz w:val="24"/>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440439"/>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B6827"/>
    <w:multiLevelType w:val="multilevel"/>
    <w:tmpl w:val="24AB6827"/>
    <w:lvl w:ilvl="0" w:tentative="0">
      <w:start w:val="1"/>
      <w:numFmt w:val="none"/>
      <w:pStyle w:val="2"/>
      <w:suff w:val="space"/>
      <w:lvlText w:val="第一章"/>
      <w:lvlJc w:val="left"/>
      <w:pPr>
        <w:tabs>
          <w:tab w:val="left" w:pos="0"/>
        </w:tabs>
        <w:ind w:left="0" w:firstLine="0"/>
      </w:pPr>
      <w:rPr>
        <w:rFonts w:hint="default" w:ascii="宋体" w:hAnsi="宋体" w:eastAsia="宋体" w:cs="宋体"/>
        <w:b/>
        <w:bCs/>
        <w:sz w:val="36"/>
        <w:szCs w:val="36"/>
      </w:rPr>
    </w:lvl>
    <w:lvl w:ilvl="1" w:tentative="0">
      <w:start w:val="1"/>
      <w:numFmt w:val="decimal"/>
      <w:pStyle w:val="3"/>
      <w:isLgl/>
      <w:suff w:val="space"/>
      <w:lvlText w:val="%2"/>
      <w:lvlJc w:val="left"/>
      <w:pPr>
        <w:ind w:left="0" w:firstLine="0"/>
      </w:pPr>
      <w:rPr>
        <w:rFonts w:hint="eastAsia" w:ascii="黑体" w:hAnsi="黑体" w:eastAsia="黑体" w:cs="黑体"/>
        <w:b/>
        <w:bCs/>
        <w:sz w:val="32"/>
        <w:szCs w:val="32"/>
      </w:rPr>
    </w:lvl>
    <w:lvl w:ilvl="2" w:tentative="0">
      <w:start w:val="1"/>
      <w:numFmt w:val="decimal"/>
      <w:pStyle w:val="4"/>
      <w:isLgl/>
      <w:suff w:val="space"/>
      <w:lvlText w:val="%2.%3"/>
      <w:lvlJc w:val="left"/>
      <w:pPr>
        <w:ind w:left="0" w:firstLine="0"/>
      </w:pPr>
      <w:rPr>
        <w:rFonts w:hint="eastAsia" w:ascii="微软雅黑" w:hAnsi="微软雅黑" w:eastAsia="微软雅黑" w:cs="黑体"/>
        <w:b w:val="0"/>
        <w:bCs w:val="0"/>
        <w:i w:val="0"/>
        <w:iCs w:val="0"/>
        <w:caps w:val="0"/>
        <w:smallCaps w:val="0"/>
        <w:strike w:val="0"/>
        <w:dstrike w:val="0"/>
        <w:outline w:val="0"/>
        <w:shadow w:val="0"/>
        <w:emboss w:val="0"/>
        <w:imprint w:val="0"/>
        <w:vanish w:val="0"/>
        <w:spacing w:val="0"/>
        <w:position w:val="0"/>
        <w:sz w:val="28"/>
        <w:szCs w:val="28"/>
        <w:u w:val="none"/>
        <w:vertAlign w:val="baseline"/>
        <w14:ligatures w14:val="none"/>
        <w14:numForm w14:val="default"/>
        <w14:numSpacing w14:val="default"/>
      </w:rPr>
    </w:lvl>
    <w:lvl w:ilvl="3" w:tentative="0">
      <w:start w:val="1"/>
      <w:numFmt w:val="decimal"/>
      <w:pStyle w:val="5"/>
      <w:isLgl/>
      <w:suff w:val="space"/>
      <w:lvlText w:val="%2.%3.%4"/>
      <w:lvlJc w:val="left"/>
      <w:pPr>
        <w:ind w:left="0" w:firstLine="0"/>
      </w:pPr>
      <w:rPr>
        <w:rFonts w:hint="eastAsia" w:ascii="微软雅黑" w:hAnsi="微软雅黑" w:eastAsia="微软雅黑" w:cs="黑体"/>
        <w:sz w:val="24"/>
        <w:szCs w:val="24"/>
      </w:rPr>
    </w:lvl>
    <w:lvl w:ilvl="4" w:tentative="0">
      <w:start w:val="1"/>
      <w:numFmt w:val="decimal"/>
      <w:pStyle w:val="6"/>
      <w:isLgl/>
      <w:suff w:val="space"/>
      <w:lvlText w:val="%2.%3.%4.%5"/>
      <w:lvlJc w:val="left"/>
      <w:pPr>
        <w:ind w:left="0" w:firstLine="0"/>
      </w:pPr>
      <w:rPr>
        <w:rFonts w:hint="eastAsia" w:ascii="黑体" w:hAnsi="黑体" w:eastAsia="黑体" w:cs="黑体"/>
        <w:sz w:val="24"/>
        <w:szCs w:val="24"/>
      </w:rPr>
    </w:lvl>
    <w:lvl w:ilvl="5" w:tentative="0">
      <w:start w:val="1"/>
      <w:numFmt w:val="decimal"/>
      <w:pStyle w:val="7"/>
      <w:isLgl/>
      <w:suff w:val="space"/>
      <w:lvlText w:val="%1.%2.%3.%4.%5.%6"/>
      <w:lvlJc w:val="left"/>
      <w:pPr>
        <w:ind w:left="3260" w:hanging="3260"/>
      </w:pPr>
      <w:rPr>
        <w:rFonts w:hint="eastAsia" w:ascii="黑体" w:hAnsi="黑体" w:eastAsia="黑体"/>
      </w:rPr>
    </w:lvl>
    <w:lvl w:ilvl="6" w:tentative="0">
      <w:start w:val="1"/>
      <w:numFmt w:val="decimal"/>
      <w:pStyle w:val="8"/>
      <w:isLgl/>
      <w:suff w:val="space"/>
      <w:lvlText w:val="%1.%2.%3.%4.%5.%6.%7"/>
      <w:lvlJc w:val="left"/>
      <w:pPr>
        <w:ind w:left="3827" w:hanging="3827"/>
      </w:pPr>
      <w:rPr>
        <w:rFonts w:hint="eastAsia" w:ascii="微软雅黑" w:hAnsi="微软雅黑" w:eastAsia="微软雅黑"/>
      </w:rPr>
    </w:lvl>
    <w:lvl w:ilvl="7" w:tentative="0">
      <w:start w:val="1"/>
      <w:numFmt w:val="decimal"/>
      <w:pStyle w:val="9"/>
      <w:isLgl/>
      <w:suff w:val="space"/>
      <w:lvlText w:val="%1.%2.%3.%4.%5.%6.%7.%8"/>
      <w:lvlJc w:val="left"/>
      <w:pPr>
        <w:ind w:left="4394" w:hanging="4394"/>
      </w:pPr>
      <w:rPr>
        <w:rFonts w:hint="eastAsia" w:ascii="微软雅黑" w:hAnsi="微软雅黑" w:eastAsia="微软雅黑"/>
        <w:sz w:val="22"/>
        <w:szCs w:val="28"/>
      </w:rPr>
    </w:lvl>
    <w:lvl w:ilvl="8" w:tentative="0">
      <w:start w:val="1"/>
      <w:numFmt w:val="decimal"/>
      <w:pStyle w:val="10"/>
      <w:isLgl/>
      <w:suff w:val="space"/>
      <w:lvlText w:val="%1.%2.%3.%4.%5.%6.%7.%8.%9"/>
      <w:lvlJc w:val="left"/>
      <w:pPr>
        <w:ind w:left="5102" w:hanging="5102"/>
      </w:pPr>
      <w:rPr>
        <w:rFonts w:hint="eastAsia" w:ascii="微软雅黑" w:hAnsi="微软雅黑" w:eastAsia="微软雅黑"/>
        <w:sz w:val="22"/>
        <w:szCs w:val="22"/>
      </w:rPr>
    </w:lvl>
  </w:abstractNum>
  <w:abstractNum w:abstractNumId="1">
    <w:nsid w:val="2E1A5E3B"/>
    <w:multiLevelType w:val="multilevel"/>
    <w:tmpl w:val="2E1A5E3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YzZkNjc3MWE5YmYxYzdjY2ViMzc4NjBlZmQ4YzIifQ=="/>
  </w:docVars>
  <w:rsids>
    <w:rsidRoot w:val="00DF69BE"/>
    <w:rsid w:val="00031DBA"/>
    <w:rsid w:val="00056FD8"/>
    <w:rsid w:val="00065D91"/>
    <w:rsid w:val="0008707F"/>
    <w:rsid w:val="000B47EC"/>
    <w:rsid w:val="000C1FEE"/>
    <w:rsid w:val="000D6887"/>
    <w:rsid w:val="000E482F"/>
    <w:rsid w:val="00161668"/>
    <w:rsid w:val="00164495"/>
    <w:rsid w:val="00176E03"/>
    <w:rsid w:val="001817B6"/>
    <w:rsid w:val="00191685"/>
    <w:rsid w:val="001B7957"/>
    <w:rsid w:val="001C7042"/>
    <w:rsid w:val="0025097E"/>
    <w:rsid w:val="00251050"/>
    <w:rsid w:val="00297E23"/>
    <w:rsid w:val="002B22A8"/>
    <w:rsid w:val="002C5B77"/>
    <w:rsid w:val="002F1B02"/>
    <w:rsid w:val="00305802"/>
    <w:rsid w:val="003142A1"/>
    <w:rsid w:val="00332FB5"/>
    <w:rsid w:val="00334404"/>
    <w:rsid w:val="00350666"/>
    <w:rsid w:val="00371B67"/>
    <w:rsid w:val="00377BA3"/>
    <w:rsid w:val="003B12C6"/>
    <w:rsid w:val="003C2897"/>
    <w:rsid w:val="003C4CD9"/>
    <w:rsid w:val="003D3A81"/>
    <w:rsid w:val="003E1D83"/>
    <w:rsid w:val="003F4819"/>
    <w:rsid w:val="003F768F"/>
    <w:rsid w:val="00413EB6"/>
    <w:rsid w:val="00442E26"/>
    <w:rsid w:val="004600B9"/>
    <w:rsid w:val="00460CBC"/>
    <w:rsid w:val="00475BD0"/>
    <w:rsid w:val="004828AB"/>
    <w:rsid w:val="004A19F0"/>
    <w:rsid w:val="004C455D"/>
    <w:rsid w:val="004D5552"/>
    <w:rsid w:val="004E38D9"/>
    <w:rsid w:val="004F499F"/>
    <w:rsid w:val="00510B7B"/>
    <w:rsid w:val="0052121D"/>
    <w:rsid w:val="00536394"/>
    <w:rsid w:val="00550C69"/>
    <w:rsid w:val="00552FD4"/>
    <w:rsid w:val="00552FF1"/>
    <w:rsid w:val="005630C4"/>
    <w:rsid w:val="00576017"/>
    <w:rsid w:val="005E50C2"/>
    <w:rsid w:val="005F194D"/>
    <w:rsid w:val="005F2135"/>
    <w:rsid w:val="00610905"/>
    <w:rsid w:val="00626EC0"/>
    <w:rsid w:val="006464AE"/>
    <w:rsid w:val="0065068A"/>
    <w:rsid w:val="00661536"/>
    <w:rsid w:val="006D3292"/>
    <w:rsid w:val="006F14FE"/>
    <w:rsid w:val="00713C27"/>
    <w:rsid w:val="00716885"/>
    <w:rsid w:val="00717231"/>
    <w:rsid w:val="00734B73"/>
    <w:rsid w:val="00753EA8"/>
    <w:rsid w:val="007542ED"/>
    <w:rsid w:val="00761246"/>
    <w:rsid w:val="007750C0"/>
    <w:rsid w:val="007A4220"/>
    <w:rsid w:val="007B0150"/>
    <w:rsid w:val="007F3F42"/>
    <w:rsid w:val="008032AD"/>
    <w:rsid w:val="008440D1"/>
    <w:rsid w:val="00845A7E"/>
    <w:rsid w:val="00852539"/>
    <w:rsid w:val="008819E8"/>
    <w:rsid w:val="008872B6"/>
    <w:rsid w:val="00896D10"/>
    <w:rsid w:val="00906A82"/>
    <w:rsid w:val="009364C7"/>
    <w:rsid w:val="00960B05"/>
    <w:rsid w:val="00964FE5"/>
    <w:rsid w:val="00990178"/>
    <w:rsid w:val="009C6389"/>
    <w:rsid w:val="009E1046"/>
    <w:rsid w:val="00A06269"/>
    <w:rsid w:val="00A11DB6"/>
    <w:rsid w:val="00A17B6B"/>
    <w:rsid w:val="00A22076"/>
    <w:rsid w:val="00A22FA4"/>
    <w:rsid w:val="00A34B80"/>
    <w:rsid w:val="00A4015D"/>
    <w:rsid w:val="00A4799D"/>
    <w:rsid w:val="00A53C58"/>
    <w:rsid w:val="00A61AA7"/>
    <w:rsid w:val="00A64962"/>
    <w:rsid w:val="00AA2EA9"/>
    <w:rsid w:val="00B07F8E"/>
    <w:rsid w:val="00B15C3E"/>
    <w:rsid w:val="00B4596F"/>
    <w:rsid w:val="00BA3CCA"/>
    <w:rsid w:val="00BC6DBC"/>
    <w:rsid w:val="00BD63D1"/>
    <w:rsid w:val="00C140B6"/>
    <w:rsid w:val="00C15F6E"/>
    <w:rsid w:val="00C1715C"/>
    <w:rsid w:val="00C67774"/>
    <w:rsid w:val="00C81CD7"/>
    <w:rsid w:val="00C84E99"/>
    <w:rsid w:val="00C864C8"/>
    <w:rsid w:val="00CA7532"/>
    <w:rsid w:val="00CB016C"/>
    <w:rsid w:val="00CB63D8"/>
    <w:rsid w:val="00CD22CB"/>
    <w:rsid w:val="00CD5044"/>
    <w:rsid w:val="00CE2422"/>
    <w:rsid w:val="00CF39D3"/>
    <w:rsid w:val="00D209E2"/>
    <w:rsid w:val="00D24332"/>
    <w:rsid w:val="00D24B00"/>
    <w:rsid w:val="00D567BD"/>
    <w:rsid w:val="00D75F5A"/>
    <w:rsid w:val="00D813DD"/>
    <w:rsid w:val="00DA046D"/>
    <w:rsid w:val="00DA362D"/>
    <w:rsid w:val="00DA3DFE"/>
    <w:rsid w:val="00DC685D"/>
    <w:rsid w:val="00DD0491"/>
    <w:rsid w:val="00DF69BE"/>
    <w:rsid w:val="00E01535"/>
    <w:rsid w:val="00E057A2"/>
    <w:rsid w:val="00E16A75"/>
    <w:rsid w:val="00E32B6B"/>
    <w:rsid w:val="00E56180"/>
    <w:rsid w:val="00E91D0C"/>
    <w:rsid w:val="00EB2230"/>
    <w:rsid w:val="00EB61F2"/>
    <w:rsid w:val="00ED6D4A"/>
    <w:rsid w:val="00F2184E"/>
    <w:rsid w:val="00F27F1D"/>
    <w:rsid w:val="00F86430"/>
    <w:rsid w:val="00F928A4"/>
    <w:rsid w:val="00FB46B5"/>
    <w:rsid w:val="00FD2E3F"/>
    <w:rsid w:val="00FD4E12"/>
    <w:rsid w:val="00FE1CAC"/>
    <w:rsid w:val="01525054"/>
    <w:rsid w:val="06BC3D08"/>
    <w:rsid w:val="089A2898"/>
    <w:rsid w:val="09AA49A1"/>
    <w:rsid w:val="145A6616"/>
    <w:rsid w:val="17013AE2"/>
    <w:rsid w:val="231132FF"/>
    <w:rsid w:val="2609215F"/>
    <w:rsid w:val="277F117F"/>
    <w:rsid w:val="2C654547"/>
    <w:rsid w:val="316171E6"/>
    <w:rsid w:val="3352760A"/>
    <w:rsid w:val="34474DD2"/>
    <w:rsid w:val="34735BC7"/>
    <w:rsid w:val="35776B00"/>
    <w:rsid w:val="3A184B1B"/>
    <w:rsid w:val="3B91187A"/>
    <w:rsid w:val="3E2C2C33"/>
    <w:rsid w:val="3E6219C0"/>
    <w:rsid w:val="4A000B42"/>
    <w:rsid w:val="4E3A77DE"/>
    <w:rsid w:val="60174E2E"/>
    <w:rsid w:val="602360C3"/>
    <w:rsid w:val="653A7EB8"/>
    <w:rsid w:val="6A9B56F0"/>
    <w:rsid w:val="6B0F38C3"/>
    <w:rsid w:val="70421BB1"/>
    <w:rsid w:val="761A4157"/>
    <w:rsid w:val="76BF021D"/>
    <w:rsid w:val="78D758AC"/>
    <w:rsid w:val="79DD605A"/>
    <w:rsid w:val="7E63065D"/>
    <w:rsid w:val="7F88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numPr>
        <w:ilvl w:val="0"/>
        <w:numId w:val="1"/>
      </w:numPr>
      <w:spacing w:line="360" w:lineRule="auto"/>
      <w:outlineLvl w:val="0"/>
    </w:pPr>
    <w:rPr>
      <w:rFonts w:eastAsia="微软雅黑"/>
      <w:b/>
      <w:bCs/>
      <w:kern w:val="44"/>
      <w:sz w:val="32"/>
      <w:szCs w:val="44"/>
    </w:rPr>
  </w:style>
  <w:style w:type="paragraph" w:styleId="3">
    <w:name w:val="heading 2"/>
    <w:basedOn w:val="1"/>
    <w:next w:val="1"/>
    <w:link w:val="21"/>
    <w:unhideWhenUsed/>
    <w:qFormat/>
    <w:uiPriority w:val="9"/>
    <w:pPr>
      <w:keepNext/>
      <w:keepLines/>
      <w:numPr>
        <w:ilvl w:val="1"/>
        <w:numId w:val="1"/>
      </w:numPr>
      <w:tabs>
        <w:tab w:val="left" w:pos="0"/>
      </w:tabs>
      <w:spacing w:line="360" w:lineRule="auto"/>
      <w:outlineLvl w:val="1"/>
    </w:pPr>
    <w:rPr>
      <w:rFonts w:eastAsia="微软雅黑" w:cstheme="majorBidi"/>
      <w:b/>
      <w:bCs/>
      <w:sz w:val="30"/>
      <w:szCs w:val="32"/>
    </w:rPr>
  </w:style>
  <w:style w:type="paragraph" w:styleId="4">
    <w:name w:val="heading 3"/>
    <w:basedOn w:val="1"/>
    <w:next w:val="1"/>
    <w:link w:val="22"/>
    <w:unhideWhenUsed/>
    <w:qFormat/>
    <w:uiPriority w:val="9"/>
    <w:pPr>
      <w:keepNext/>
      <w:keepLines/>
      <w:numPr>
        <w:ilvl w:val="2"/>
        <w:numId w:val="1"/>
      </w:numPr>
      <w:spacing w:line="360" w:lineRule="auto"/>
      <w:outlineLvl w:val="2"/>
    </w:pPr>
    <w:rPr>
      <w:rFonts w:eastAsia="微软雅黑"/>
      <w:b/>
      <w:bCs/>
      <w:sz w:val="24"/>
      <w:szCs w:val="32"/>
    </w:rPr>
  </w:style>
  <w:style w:type="paragraph" w:styleId="5">
    <w:name w:val="heading 4"/>
    <w:basedOn w:val="1"/>
    <w:next w:val="1"/>
    <w:link w:val="23"/>
    <w:unhideWhenUsed/>
    <w:qFormat/>
    <w:uiPriority w:val="0"/>
    <w:pPr>
      <w:keepNext/>
      <w:keepLines/>
      <w:numPr>
        <w:ilvl w:val="3"/>
        <w:numId w:val="1"/>
      </w:numPr>
      <w:spacing w:line="360" w:lineRule="auto"/>
      <w:outlineLvl w:val="3"/>
    </w:pPr>
    <w:rPr>
      <w:rFonts w:eastAsia="微软雅黑" w:cstheme="majorBidi"/>
      <w:b/>
      <w:bCs/>
      <w:sz w:val="24"/>
      <w:szCs w:val="28"/>
    </w:rPr>
  </w:style>
  <w:style w:type="paragraph" w:styleId="6">
    <w:name w:val="heading 5"/>
    <w:basedOn w:val="1"/>
    <w:next w:val="1"/>
    <w:link w:val="24"/>
    <w:unhideWhenUsed/>
    <w:qFormat/>
    <w:uiPriority w:val="9"/>
    <w:pPr>
      <w:keepNext/>
      <w:keepLines/>
      <w:numPr>
        <w:ilvl w:val="4"/>
        <w:numId w:val="1"/>
      </w:numPr>
      <w:spacing w:line="360" w:lineRule="auto"/>
      <w:outlineLvl w:val="4"/>
    </w:pPr>
    <w:rPr>
      <w:rFonts w:eastAsia="微软雅黑"/>
      <w:b/>
      <w:bCs/>
      <w:sz w:val="24"/>
      <w:szCs w:val="28"/>
    </w:rPr>
  </w:style>
  <w:style w:type="paragraph" w:styleId="7">
    <w:name w:val="heading 6"/>
    <w:basedOn w:val="1"/>
    <w:next w:val="1"/>
    <w:link w:val="25"/>
    <w:unhideWhenUsed/>
    <w:qFormat/>
    <w:uiPriority w:val="9"/>
    <w:pPr>
      <w:keepNext/>
      <w:keepLines/>
      <w:numPr>
        <w:ilvl w:val="5"/>
        <w:numId w:val="1"/>
      </w:numPr>
      <w:spacing w:line="360" w:lineRule="auto"/>
      <w:outlineLvl w:val="5"/>
    </w:pPr>
    <w:rPr>
      <w:rFonts w:eastAsia="微软雅黑" w:asciiTheme="majorHAnsi" w:hAnsiTheme="majorHAnsi" w:cstheme="majorBidi"/>
      <w:b/>
      <w:bCs/>
      <w:sz w:val="24"/>
      <w:szCs w:val="24"/>
    </w:rPr>
  </w:style>
  <w:style w:type="paragraph" w:styleId="8">
    <w:name w:val="heading 7"/>
    <w:basedOn w:val="1"/>
    <w:next w:val="1"/>
    <w:link w:val="26"/>
    <w:unhideWhenUsed/>
    <w:qFormat/>
    <w:uiPriority w:val="0"/>
    <w:pPr>
      <w:keepNext/>
      <w:keepLines/>
      <w:numPr>
        <w:ilvl w:val="6"/>
        <w:numId w:val="1"/>
      </w:numPr>
      <w:spacing w:line="360" w:lineRule="auto"/>
      <w:outlineLvl w:val="6"/>
    </w:pPr>
    <w:rPr>
      <w:rFonts w:eastAsia="微软雅黑"/>
      <w:b/>
      <w:bCs/>
      <w:sz w:val="24"/>
      <w:szCs w:val="24"/>
    </w:rPr>
  </w:style>
  <w:style w:type="paragraph" w:styleId="9">
    <w:name w:val="heading 8"/>
    <w:basedOn w:val="1"/>
    <w:next w:val="1"/>
    <w:link w:val="27"/>
    <w:unhideWhenUsed/>
    <w:qFormat/>
    <w:uiPriority w:val="0"/>
    <w:pPr>
      <w:keepNext/>
      <w:keepLines/>
      <w:numPr>
        <w:ilvl w:val="7"/>
        <w:numId w:val="1"/>
      </w:numPr>
      <w:spacing w:line="360" w:lineRule="auto"/>
      <w:outlineLvl w:val="7"/>
    </w:pPr>
    <w:rPr>
      <w:rFonts w:eastAsia="微软雅黑" w:asciiTheme="majorHAnsi" w:hAnsiTheme="majorHAnsi" w:cstheme="majorBidi"/>
      <w:b/>
      <w:szCs w:val="24"/>
    </w:rPr>
  </w:style>
  <w:style w:type="paragraph" w:styleId="10">
    <w:name w:val="heading 9"/>
    <w:basedOn w:val="1"/>
    <w:next w:val="1"/>
    <w:link w:val="28"/>
    <w:unhideWhenUsed/>
    <w:qFormat/>
    <w:uiPriority w:val="0"/>
    <w:pPr>
      <w:keepNext/>
      <w:keepLines/>
      <w:numPr>
        <w:ilvl w:val="8"/>
        <w:numId w:val="1"/>
      </w:numPr>
      <w:spacing w:line="360" w:lineRule="auto"/>
      <w:outlineLvl w:val="8"/>
    </w:pPr>
    <w:rPr>
      <w:rFonts w:eastAsia="微软雅黑" w:asciiTheme="majorHAnsi" w:hAnsiTheme="majorHAnsi" w:cstheme="majorBidi"/>
      <w:b/>
      <w:szCs w:val="21"/>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Body Text Indent"/>
    <w:basedOn w:val="1"/>
    <w:link w:val="29"/>
    <w:qFormat/>
    <w:uiPriority w:val="0"/>
    <w:pPr>
      <w:ind w:firstLine="501" w:firstLineChars="179"/>
    </w:pPr>
    <w:rPr>
      <w:rFonts w:ascii="Times New Roman" w:hAnsi="Times New Roman" w:eastAsia="宋体" w:cs="Times New Roman"/>
      <w:sz w:val="28"/>
      <w:szCs w:val="24"/>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3"/>
    <w:qFormat/>
    <w:uiPriority w:val="99"/>
    <w:rPr>
      <w:sz w:val="18"/>
      <w:szCs w:val="18"/>
    </w:rPr>
  </w:style>
  <w:style w:type="character" w:customStyle="1" w:styleId="19">
    <w:name w:val="页脚 字符"/>
    <w:basedOn w:val="17"/>
    <w:link w:val="12"/>
    <w:qFormat/>
    <w:uiPriority w:val="99"/>
    <w:rPr>
      <w:sz w:val="18"/>
      <w:szCs w:val="18"/>
    </w:rPr>
  </w:style>
  <w:style w:type="character" w:customStyle="1" w:styleId="20">
    <w:name w:val="标题 1 字符"/>
    <w:basedOn w:val="17"/>
    <w:link w:val="2"/>
    <w:qFormat/>
    <w:uiPriority w:val="0"/>
    <w:rPr>
      <w:rFonts w:eastAsia="微软雅黑"/>
      <w:b/>
      <w:bCs/>
      <w:kern w:val="44"/>
      <w:sz w:val="32"/>
      <w:szCs w:val="44"/>
    </w:rPr>
  </w:style>
  <w:style w:type="character" w:customStyle="1" w:styleId="21">
    <w:name w:val="标题 2 字符"/>
    <w:basedOn w:val="17"/>
    <w:link w:val="3"/>
    <w:qFormat/>
    <w:uiPriority w:val="0"/>
    <w:rPr>
      <w:rFonts w:eastAsia="微软雅黑" w:cstheme="majorBidi"/>
      <w:b/>
      <w:bCs/>
      <w:sz w:val="30"/>
      <w:szCs w:val="32"/>
    </w:rPr>
  </w:style>
  <w:style w:type="character" w:customStyle="1" w:styleId="22">
    <w:name w:val="标题 3 字符"/>
    <w:basedOn w:val="17"/>
    <w:link w:val="4"/>
    <w:qFormat/>
    <w:uiPriority w:val="0"/>
    <w:rPr>
      <w:rFonts w:eastAsia="微软雅黑"/>
      <w:b/>
      <w:bCs/>
      <w:sz w:val="24"/>
      <w:szCs w:val="32"/>
    </w:rPr>
  </w:style>
  <w:style w:type="character" w:customStyle="1" w:styleId="23">
    <w:name w:val="标题 4 字符"/>
    <w:basedOn w:val="17"/>
    <w:link w:val="5"/>
    <w:qFormat/>
    <w:uiPriority w:val="0"/>
    <w:rPr>
      <w:rFonts w:eastAsia="微软雅黑" w:cstheme="majorBidi"/>
      <w:b/>
      <w:bCs/>
      <w:sz w:val="24"/>
      <w:szCs w:val="28"/>
    </w:rPr>
  </w:style>
  <w:style w:type="character" w:customStyle="1" w:styleId="24">
    <w:name w:val="标题 5 字符"/>
    <w:basedOn w:val="17"/>
    <w:link w:val="6"/>
    <w:qFormat/>
    <w:uiPriority w:val="0"/>
    <w:rPr>
      <w:rFonts w:eastAsia="微软雅黑"/>
      <w:b/>
      <w:bCs/>
      <w:sz w:val="24"/>
      <w:szCs w:val="28"/>
    </w:rPr>
  </w:style>
  <w:style w:type="character" w:customStyle="1" w:styleId="25">
    <w:name w:val="标题 6 字符"/>
    <w:basedOn w:val="17"/>
    <w:link w:val="7"/>
    <w:qFormat/>
    <w:uiPriority w:val="0"/>
    <w:rPr>
      <w:rFonts w:eastAsia="微软雅黑" w:asciiTheme="majorHAnsi" w:hAnsiTheme="majorHAnsi" w:cstheme="majorBidi"/>
      <w:b/>
      <w:bCs/>
      <w:sz w:val="24"/>
      <w:szCs w:val="24"/>
    </w:rPr>
  </w:style>
  <w:style w:type="character" w:customStyle="1" w:styleId="26">
    <w:name w:val="标题 7 字符"/>
    <w:basedOn w:val="17"/>
    <w:link w:val="8"/>
    <w:qFormat/>
    <w:uiPriority w:val="0"/>
    <w:rPr>
      <w:rFonts w:eastAsia="微软雅黑"/>
      <w:b/>
      <w:bCs/>
      <w:sz w:val="24"/>
      <w:szCs w:val="24"/>
    </w:rPr>
  </w:style>
  <w:style w:type="character" w:customStyle="1" w:styleId="27">
    <w:name w:val="标题 8 字符"/>
    <w:basedOn w:val="17"/>
    <w:link w:val="9"/>
    <w:qFormat/>
    <w:uiPriority w:val="0"/>
    <w:rPr>
      <w:rFonts w:eastAsia="微软雅黑" w:asciiTheme="majorHAnsi" w:hAnsiTheme="majorHAnsi" w:cstheme="majorBidi"/>
      <w:b/>
      <w:szCs w:val="24"/>
    </w:rPr>
  </w:style>
  <w:style w:type="character" w:customStyle="1" w:styleId="28">
    <w:name w:val="标题 9 字符"/>
    <w:basedOn w:val="17"/>
    <w:link w:val="10"/>
    <w:qFormat/>
    <w:uiPriority w:val="0"/>
    <w:rPr>
      <w:rFonts w:eastAsia="微软雅黑" w:asciiTheme="majorHAnsi" w:hAnsiTheme="majorHAnsi" w:cstheme="majorBidi"/>
      <w:b/>
      <w:szCs w:val="21"/>
    </w:rPr>
  </w:style>
  <w:style w:type="character" w:customStyle="1" w:styleId="29">
    <w:name w:val="正文文本缩进 字符"/>
    <w:basedOn w:val="17"/>
    <w:link w:val="11"/>
    <w:qFormat/>
    <w:uiPriority w:val="0"/>
    <w:rPr>
      <w:rFonts w:ascii="Times New Roman" w:hAnsi="Times New Roman" w:eastAsia="宋体" w:cs="Times New Roman"/>
      <w:sz w:val="28"/>
      <w:szCs w:val="24"/>
    </w:rPr>
  </w:style>
  <w:style w:type="paragraph" w:styleId="30">
    <w:name w:val="List Paragraph"/>
    <w:basedOn w:val="1"/>
    <w:link w:val="31"/>
    <w:qFormat/>
    <w:uiPriority w:val="34"/>
    <w:pPr>
      <w:ind w:firstLine="420" w:firstLineChars="200"/>
    </w:pPr>
  </w:style>
  <w:style w:type="character" w:customStyle="1" w:styleId="31">
    <w:name w:val="列表段落 字符"/>
    <w:link w:val="30"/>
    <w:qFormat/>
    <w:uiPriority w:val="34"/>
  </w:style>
  <w:style w:type="paragraph" w:customStyle="1" w:styleId="32">
    <w:name w:val="_正文段落"/>
    <w:basedOn w:val="1"/>
    <w:qFormat/>
    <w:uiPriority w:val="0"/>
    <w:pPr>
      <w:spacing w:beforeLines="15" w:afterLines="15" w:line="360" w:lineRule="auto"/>
      <w:ind w:firstLine="480" w:firstLineChars="200"/>
    </w:pPr>
    <w:rPr>
      <w:rFonts w:ascii="宋体" w:hAnsi="宋体" w:eastAsia="宋体" w:cs="Times New Roman"/>
      <w:sz w:val="24"/>
      <w:szCs w:val="24"/>
    </w:rPr>
  </w:style>
  <w:style w:type="paragraph" w:customStyle="1" w:styleId="33">
    <w:name w:val="正文+仿宋_GB2312 行距: 1.5 倍行距"/>
    <w:basedOn w:val="1"/>
    <w:qFormat/>
    <w:uiPriority w:val="0"/>
    <w:pPr>
      <w:spacing w:line="360" w:lineRule="auto"/>
    </w:pPr>
    <w:rPr>
      <w:rFonts w:hAnsi="仿宋_GB2312" w:cs="宋体"/>
      <w:szCs w:val="20"/>
    </w:rPr>
  </w:style>
  <w:style w:type="table" w:customStyle="1" w:styleId="34">
    <w:name w:val="网格型6"/>
    <w:basedOn w:val="15"/>
    <w:qFormat/>
    <w:uiPriority w:val="39"/>
    <w:rPr>
      <w:rFonts w:ascii="Times New Roman" w:hAnsi="Times New Roman" w:eastAsia="宋体" w:cs="Times New Roman"/>
    </w:rPr>
    <w:tblPr>
      <w:tblBorders>
        <w:insideH w:val="single" w:color="000000" w:themeColor="text1" w:sz="4" w:space="0"/>
        <w:insideV w:val="single" w:color="000000" w:themeColor="text1" w:sz="4" w:space="0"/>
      </w:tblBorders>
      <w:tblCellMar>
        <w:left w:w="0" w:type="dxa"/>
        <w:right w:w="0" w:type="dxa"/>
      </w:tblCellMar>
    </w:tblPr>
  </w:style>
  <w:style w:type="character" w:customStyle="1" w:styleId="35">
    <w:name w:val="ql-font-timesnewroman"/>
    <w:basedOn w:val="1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5955</Words>
  <Characters>6054</Characters>
  <Lines>45</Lines>
  <Paragraphs>12</Paragraphs>
  <TotalTime>7</TotalTime>
  <ScaleCrop>false</ScaleCrop>
  <LinksUpToDate>false</LinksUpToDate>
  <CharactersWithSpaces>6057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2023-02-12T02:39:00Z</dcterms:created>
  <dc:creator>杜 红利</dc:creator>
  <cp:lastModifiedBy>Siheng Li</cp:lastModifiedBy>
  <dcterms:modified xsi:type="dcterms:W3CDTF">2023-09-28T07:20:28Z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0A116410277946C4A435A80BF4609DDE_13</vt:lpwstr>
  </property>
</Properties>
</file>