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6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3"/>
        <w:gridCol w:w="7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103" w:type="dxa"/>
            <w:tcBorders>
              <w:tl2br w:val="nil"/>
              <w:tr2bl w:val="nil"/>
            </w:tcBorders>
            <w:vAlign w:val="center"/>
          </w:tcPr>
          <w:p>
            <w:pPr>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附件：</w:t>
            </w:r>
          </w:p>
        </w:tc>
        <w:tc>
          <w:tcPr>
            <w:tcW w:w="7547" w:type="dxa"/>
            <w:tcBorders>
              <w:tl2br w:val="nil"/>
              <w:tr2bl w:val="nil"/>
            </w:tcBorders>
            <w:vAlign w:val="center"/>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南山区区域医疗信息</w:t>
            </w:r>
            <w:r>
              <w:rPr>
                <w:rFonts w:hint="eastAsia" w:ascii="仿宋" w:hAnsi="仿宋" w:eastAsia="仿宋"/>
                <w:kern w:val="0"/>
                <w:sz w:val="28"/>
                <w:szCs w:val="28"/>
              </w:rPr>
              <w:t>溯源系统</w:t>
            </w:r>
            <w:r>
              <w:rPr>
                <w:rFonts w:hint="eastAsia" w:ascii="仿宋" w:hAnsi="仿宋" w:eastAsia="仿宋"/>
                <w:kern w:val="0"/>
                <w:sz w:val="28"/>
                <w:szCs w:val="28"/>
                <w:lang w:val="en-US" w:eastAsia="zh-CN"/>
              </w:rPr>
              <w:t>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650" w:type="dxa"/>
            <w:gridSpan w:val="2"/>
            <w:tcBorders>
              <w:tl2br w:val="nil"/>
              <w:tr2bl w:val="nil"/>
            </w:tcBorders>
            <w:vAlign w:val="center"/>
          </w:tcPr>
          <w:p>
            <w:pPr>
              <w:numPr>
                <w:ilvl w:val="0"/>
                <w:numId w:val="1"/>
              </w:numPr>
              <w:rPr>
                <w:rFonts w:ascii="仿宋" w:hAnsi="仿宋" w:eastAsia="仿宋"/>
                <w:kern w:val="0"/>
                <w:sz w:val="28"/>
                <w:szCs w:val="28"/>
              </w:rPr>
            </w:pPr>
            <w:r>
              <w:rPr>
                <w:rFonts w:hint="eastAsia" w:ascii="仿宋" w:hAnsi="仿宋" w:eastAsia="仿宋"/>
                <w:b/>
                <w:bCs/>
                <w:kern w:val="0"/>
                <w:sz w:val="28"/>
                <w:szCs w:val="28"/>
              </w:rPr>
              <w:t>项目建设的必要性</w:t>
            </w:r>
          </w:p>
          <w:p>
            <w:pPr>
              <w:numPr>
                <w:ilvl w:val="0"/>
                <w:numId w:val="0"/>
              </w:num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1、数字医疗现状及问题分析</w:t>
            </w:r>
          </w:p>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随着数字医疗的快速发展，绝大多数数据都可以由办公终端直接查看。此外，由于医疗行业的特殊性和敏感性，其数据的变现价值非常高，甚至形成了相关的黑色产品链，如统方数据贩卖、电子病历数据贩卖等，严重侵害了患者与医院的权益。相关案例事件频发，我院需引起重视。</w:t>
            </w:r>
          </w:p>
          <w:p>
            <w:pPr>
              <w:bidi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此外，</w:t>
            </w:r>
            <w:r>
              <w:rPr>
                <w:rFonts w:hint="eastAsia" w:ascii="仿宋" w:hAnsi="仿宋" w:eastAsia="仿宋"/>
                <w:kern w:val="0"/>
                <w:sz w:val="28"/>
                <w:szCs w:val="28"/>
              </w:rPr>
              <w:t>仍有较多的数据会转换成纸质文件在领导、工作人员以及患者之间流转</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目前，纸质文件在医院仍有较高的使用频率。</w:t>
            </w:r>
            <w:r>
              <w:rPr>
                <w:rFonts w:hint="eastAsia" w:ascii="仿宋" w:hAnsi="仿宋" w:eastAsia="仿宋"/>
                <w:kern w:val="0"/>
                <w:sz w:val="28"/>
                <w:szCs w:val="28"/>
              </w:rPr>
              <w:t>例如</w:t>
            </w:r>
            <w:r>
              <w:rPr>
                <w:rFonts w:hint="eastAsia" w:ascii="仿宋" w:hAnsi="仿宋" w:eastAsia="仿宋"/>
                <w:kern w:val="0"/>
                <w:sz w:val="28"/>
                <w:szCs w:val="28"/>
                <w:lang w:val="en-US" w:eastAsia="zh-CN"/>
              </w:rPr>
              <w:t>患者在临床阶段，会诊时需要打印患者资料供不同医生参考、医护人员在交接班时需要打印带有患者信息的交班记录。此外，医院出于管理的要求，也会产生大量纸质文件。例如患者打印的出院证明、医护打印的知情通知书、告知书以及医院内部涉密的通知/文件，如绩效工资、财务报表、卫健委内部指导文件等。对于这些纸质文件，医院的安全保障体系还未完善，导致患者隐私极易泄露而带来医患纠纷，且泄密后难以追溯，无法定责，缺乏有效的管理手段。</w:t>
            </w:r>
          </w:p>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以下为一些典型案例：</w:t>
            </w:r>
          </w:p>
          <w:p>
            <w:pPr>
              <w:pStyle w:val="2"/>
            </w:pPr>
            <w:r>
              <w:drawing>
                <wp:inline distT="0" distB="0" distL="114300" distR="114300">
                  <wp:extent cx="5351780" cy="3458845"/>
                  <wp:effectExtent l="0" t="0" r="1270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351780" cy="3458845"/>
                          </a:xfrm>
                          <a:prstGeom prst="rect">
                            <a:avLst/>
                          </a:prstGeom>
                          <a:noFill/>
                          <a:ln>
                            <a:noFill/>
                          </a:ln>
                        </pic:spPr>
                      </pic:pic>
                    </a:graphicData>
                  </a:graphic>
                </wp:inline>
              </w:drawing>
            </w:r>
          </w:p>
          <w:p>
            <w:pPr>
              <w:pStyle w:val="3"/>
              <w:jc w:val="center"/>
              <w:rPr>
                <w:rFonts w:hint="eastAsia"/>
                <w:b/>
                <w:bCs/>
                <w:sz w:val="22"/>
                <w:szCs w:val="32"/>
                <w:lang w:val="en-US" w:eastAsia="zh-CN"/>
              </w:rPr>
            </w:pPr>
            <w:r>
              <w:rPr>
                <w:rFonts w:hint="eastAsia"/>
                <w:b/>
                <w:bCs/>
                <w:sz w:val="22"/>
                <w:szCs w:val="32"/>
                <w:lang w:val="en-US" w:eastAsia="zh-CN"/>
              </w:rPr>
              <w:t>统方数据贩卖</w:t>
            </w:r>
          </w:p>
          <w:p>
            <w:pPr>
              <w:jc w:val="center"/>
            </w:pPr>
            <w:r>
              <w:drawing>
                <wp:inline distT="0" distB="0" distL="114300" distR="114300">
                  <wp:extent cx="5349240" cy="4427855"/>
                  <wp:effectExtent l="0" t="0" r="0"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349240" cy="4427855"/>
                          </a:xfrm>
                          <a:prstGeom prst="rect">
                            <a:avLst/>
                          </a:prstGeom>
                          <a:noFill/>
                          <a:ln>
                            <a:noFill/>
                          </a:ln>
                        </pic:spPr>
                      </pic:pic>
                    </a:graphicData>
                  </a:graphic>
                </wp:inline>
              </w:drawing>
            </w:r>
          </w:p>
          <w:p>
            <w:pPr>
              <w:pStyle w:val="3"/>
              <w:jc w:val="center"/>
              <w:rPr>
                <w:rFonts w:hint="default" w:cs="Times New Roman"/>
                <w:b/>
                <w:bCs/>
                <w:sz w:val="22"/>
                <w:szCs w:val="32"/>
                <w:lang w:val="en-US" w:eastAsia="zh-CN"/>
              </w:rPr>
            </w:pPr>
            <w:r>
              <w:rPr>
                <w:rFonts w:hint="eastAsia" w:cs="Times New Roman"/>
                <w:b/>
                <w:bCs/>
                <w:sz w:val="22"/>
                <w:szCs w:val="32"/>
                <w:lang w:val="en-US" w:eastAsia="zh-CN"/>
              </w:rPr>
              <w:t>病历</w:t>
            </w:r>
            <w:bookmarkStart w:id="0" w:name="_GoBack"/>
            <w:bookmarkEnd w:id="0"/>
            <w:r>
              <w:rPr>
                <w:rFonts w:hint="eastAsia" w:cs="Times New Roman"/>
                <w:b/>
                <w:bCs/>
                <w:sz w:val="22"/>
                <w:szCs w:val="32"/>
                <w:lang w:val="en-US" w:eastAsia="zh-CN"/>
              </w:rPr>
              <w:t>资料被偷拍传播</w:t>
            </w:r>
          </w:p>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2、项目建设的必要性分析</w:t>
            </w:r>
          </w:p>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新型泄密溯源系统的建设，可以解决重要医疗数据拍摄、截屏泄密、纸质文件拍摄、扫描泄密等问题，补足传统数据安全产品管控缺口，实现数据安全的闭环，有效降低内部人员泄密的风险。</w:t>
            </w:r>
          </w:p>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针对屏幕数据泄露层面：</w:t>
            </w:r>
          </w:p>
          <w:p>
            <w:pPr>
              <w:numPr>
                <w:ilvl w:val="0"/>
                <w:numId w:val="2"/>
              </w:num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医院现有的防统方系统需完善，减少工作人员偷拍或截屏盗取统方信息的行为，新增事后溯源的手段，积极响应《卫生部八项行业纪律》、《关于加强医院信息系统药品、高值耗材统计功能管理的通知》。（2）电子病历系统迅速发展，共享病历遭遇泄露的风险不能忽视，需针对多种泄密方式建立完善的防护措施，积极响应《关于进一步推进以电子病历为核心的医疗机构信息化建设工作的通知》中专门提出的“确保电子病历信息化建设运行安全”。（3）医院各类信息系统多而庞杂，患者病历、处方、用药情况等敏感信息多且数据价值高，偷拍泄密后应急响应能力差，缺乏事情震慑和事后追溯的能力。</w:t>
            </w:r>
          </w:p>
          <w:p>
            <w:pPr>
              <w:numPr>
                <w:ilvl w:val="0"/>
                <w:numId w:val="0"/>
              </w:num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针对纸质文件数据泄露层面：</w:t>
            </w:r>
          </w:p>
          <w:p>
            <w:pPr>
              <w:numPr>
                <w:ilvl w:val="0"/>
                <w:numId w:val="2"/>
              </w:numPr>
              <w:rPr>
                <w:rFonts w:hint="default"/>
                <w:lang w:val="en-US" w:eastAsia="zh-CN"/>
              </w:rPr>
            </w:pPr>
            <w:r>
              <w:rPr>
                <w:rFonts w:hint="eastAsia" w:ascii="仿宋" w:hAnsi="仿宋" w:eastAsia="仿宋"/>
                <w:kern w:val="0"/>
                <w:sz w:val="28"/>
                <w:szCs w:val="28"/>
              </w:rPr>
              <w:t>文档打印拍摄泄密溯源系统的建设，可以解决重要纸质文档被偷拍、复印、扫描泄密的问题，补足传统数据安全产品管控缺口，实现数据安全的闭环，有效降低内部人员泄密的风险。针对纸质文件泄露层面：（1）医院应加强对纸质文件的管控，减少文件被偷拍泄密的风险，新增事后溯源的手段，降低事后追责的成本。（2）积极响应国家对医疗行业数据安全建设的指导，完善基础数据安全保护措施，从内部降低数据泄露和不当使用的风险。（3）医院各类纸质文档多且庞杂，患者出院证明、</w:t>
            </w:r>
            <w:r>
              <w:rPr>
                <w:rFonts w:hint="eastAsia" w:ascii="仿宋" w:hAnsi="仿宋" w:eastAsia="仿宋"/>
                <w:kern w:val="0"/>
                <w:sz w:val="28"/>
                <w:szCs w:val="28"/>
                <w:lang w:val="en-US" w:eastAsia="zh-CN"/>
              </w:rPr>
              <w:t>医院内部涉密的文件/通知、带有患者信息的交班记录</w:t>
            </w:r>
            <w:r>
              <w:rPr>
                <w:rFonts w:hint="eastAsia" w:ascii="仿宋" w:hAnsi="仿宋" w:eastAsia="仿宋"/>
                <w:kern w:val="0"/>
                <w:sz w:val="28"/>
                <w:szCs w:val="28"/>
              </w:rPr>
              <w:t>等内容保护不当均会带来纠纷，偷拍泄密后应急响应能力差，缺乏事情震慑和事后追溯的能力。</w:t>
            </w:r>
          </w:p>
          <w:p>
            <w:pPr>
              <w:numPr>
                <w:ilvl w:val="0"/>
                <w:numId w:val="1"/>
              </w:numPr>
              <w:rPr>
                <w:rFonts w:hint="eastAsia" w:ascii="仿宋" w:hAnsi="仿宋" w:eastAsia="仿宋"/>
                <w:b/>
                <w:bCs/>
                <w:kern w:val="0"/>
                <w:sz w:val="28"/>
                <w:szCs w:val="28"/>
              </w:rPr>
            </w:pPr>
            <w:r>
              <w:rPr>
                <w:rFonts w:hint="eastAsia" w:ascii="仿宋" w:hAnsi="仿宋" w:eastAsia="仿宋"/>
                <w:b/>
                <w:bCs/>
                <w:kern w:val="0"/>
                <w:sz w:val="28"/>
                <w:szCs w:val="28"/>
                <w:lang w:val="en-US" w:eastAsia="zh-CN"/>
              </w:rPr>
              <w:t>系统特性</w:t>
            </w:r>
          </w:p>
          <w:p>
            <w:pPr>
              <w:pStyle w:val="2"/>
              <w:rPr>
                <w:rFonts w:hint="default"/>
                <w:lang w:val="en-US"/>
              </w:rPr>
            </w:pPr>
            <w:r>
              <w:rPr>
                <w:rFonts w:hint="eastAsia" w:ascii="仿宋" w:hAnsi="仿宋" w:eastAsia="仿宋"/>
                <w:b/>
                <w:bCs/>
                <w:kern w:val="0"/>
                <w:sz w:val="28"/>
                <w:szCs w:val="28"/>
                <w:lang w:val="en-US" w:eastAsia="zh-CN"/>
              </w:rPr>
              <w:t>（1）系统优势</w:t>
            </w:r>
          </w:p>
          <w:p>
            <w:pPr>
              <w:pStyle w:val="7"/>
              <w:numPr>
                <w:ilvl w:val="0"/>
                <w:numId w:val="3"/>
              </w:numPr>
              <w:spacing w:before="0" w:after="0"/>
              <w:ind w:left="420" w:leftChars="0" w:hanging="420" w:firstLineChars="0"/>
            </w:pPr>
            <w:r>
              <w:rPr>
                <w:rFonts w:hint="eastAsia" w:ascii="仿宋" w:hAnsi="仿宋" w:eastAsia="仿宋" w:cs="Times New Roman"/>
                <w:color w:val="0D0D0D" w:themeColor="text1" w:themeTint="F2"/>
                <w:sz w:val="28"/>
                <w:szCs w:val="28"/>
                <w14:textFill>
                  <w14:solidFill>
                    <w14:schemeClr w14:val="tx1">
                      <w14:lumMod w14:val="95000"/>
                      <w14:lumOff w14:val="5000"/>
                    </w14:schemeClr>
                  </w14:solidFill>
                </w14:textFill>
              </w:rPr>
              <w:t>视觉效果良好，通过隐形水印，最小程度降低对视觉呈现的影响；</w:t>
            </w:r>
          </w:p>
          <w:p>
            <w:pPr>
              <w:pStyle w:val="7"/>
              <w:numPr>
                <w:ilvl w:val="0"/>
                <w:numId w:val="3"/>
              </w:numPr>
              <w:spacing w:before="0" w:after="0"/>
              <w:ind w:left="420" w:leftChars="0" w:hanging="420" w:firstLineChars="0"/>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系统侵入性低，隐形水印平铺在屏幕顶层，不改变屏幕显示内容</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与文档显示内容</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，不影响用户操作（如鼠标、键盘、手写板等操作）</w:t>
            </w:r>
          </w:p>
          <w:p>
            <w:pPr>
              <w:pStyle w:val="7"/>
              <w:numPr>
                <w:ilvl w:val="0"/>
                <w:numId w:val="3"/>
              </w:numPr>
              <w:spacing w:before="0" w:after="0"/>
              <w:ind w:left="420" w:leftChars="0" w:hanging="420" w:firstLineChars="0"/>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溯源信息精准，可通过泄密样本溯源到设备IP、MAC、姓名、工号、时间等详细信息；</w:t>
            </w:r>
          </w:p>
          <w:p>
            <w:pPr>
              <w:pStyle w:val="7"/>
              <w:numPr>
                <w:ilvl w:val="0"/>
                <w:numId w:val="3"/>
              </w:numPr>
              <w:spacing w:before="0" w:after="0"/>
              <w:ind w:left="420" w:leftChars="0" w:hanging="420" w:firstLineChars="0"/>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鲁棒性强，业界首发优势，顶尖的核心算法，在图片压缩、裁减、拍摄摩尔纹、部分屏拍摄等恶劣场景中，仍拥有很高的溯源成功率；</w:t>
            </w:r>
          </w:p>
          <w:p>
            <w:pPr>
              <w:pStyle w:val="7"/>
              <w:numPr>
                <w:ilvl w:val="0"/>
                <w:numId w:val="3"/>
              </w:numPr>
              <w:spacing w:before="0" w:after="0"/>
              <w:ind w:left="420" w:leftChars="0" w:hanging="420" w:firstLineChars="0"/>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抗干扰能力强，水印信息不可见，有效避免定向涂抹、擦除；</w:t>
            </w:r>
          </w:p>
          <w:p>
            <w:pPr>
              <w:pStyle w:val="2"/>
              <w:rPr>
                <w:rFonts w:hint="default"/>
                <w:lang w:val="en-US"/>
              </w:rPr>
            </w:pPr>
            <w:r>
              <w:rPr>
                <w:rFonts w:hint="eastAsia" w:ascii="仿宋" w:hAnsi="仿宋" w:eastAsia="仿宋"/>
                <w:b/>
                <w:bCs/>
                <w:kern w:val="0"/>
                <w:sz w:val="28"/>
                <w:szCs w:val="28"/>
                <w:lang w:val="en-US" w:eastAsia="zh-CN"/>
              </w:rPr>
              <w:t>（2）核心价值</w:t>
            </w:r>
          </w:p>
          <w:p>
            <w:pPr>
              <w:pStyle w:val="7"/>
              <w:numPr>
                <w:ilvl w:val="0"/>
                <w:numId w:val="4"/>
              </w:numPr>
              <w:spacing w:before="0" w:after="0" w:line="360" w:lineRule="auto"/>
              <w:ind w:left="420" w:leftChars="0" w:hanging="420" w:firstLineChars="0"/>
              <w:rPr>
                <w:rFonts w:hint="eastAsia" w:ascii="仿宋" w:hAnsi="仿宋" w:eastAsia="仿宋" w:cs="黑体"/>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黑体"/>
                <w:color w:val="0D0D0D" w:themeColor="text1" w:themeTint="F2"/>
                <w:sz w:val="28"/>
                <w:szCs w:val="28"/>
                <w14:textFill>
                  <w14:solidFill>
                    <w14:schemeClr w14:val="tx1">
                      <w14:lumMod w14:val="95000"/>
                      <w14:lumOff w14:val="5000"/>
                    </w14:schemeClr>
                  </w14:solidFill>
                </w14:textFill>
              </w:rPr>
              <w:t>减少违规泄密事件的发生，隐形水印具有震慑威力，降低屏幕拍照</w:t>
            </w:r>
            <w:r>
              <w:rPr>
                <w:rFonts w:hint="eastAsia" w:ascii="仿宋" w:hAnsi="仿宋" w:eastAsia="仿宋" w:cs="黑体"/>
                <w:color w:val="0D0D0D" w:themeColor="text1" w:themeTint="F2"/>
                <w:sz w:val="28"/>
                <w:szCs w:val="28"/>
                <w:lang w:eastAsia="zh-CN"/>
                <w14:textFill>
                  <w14:solidFill>
                    <w14:schemeClr w14:val="tx1">
                      <w14:lumMod w14:val="95000"/>
                      <w14:lumOff w14:val="5000"/>
                    </w14:schemeClr>
                  </w14:solidFill>
                </w14:textFill>
              </w:rPr>
              <w:t>、</w:t>
            </w:r>
            <w:r>
              <w:rPr>
                <w:rFonts w:hint="eastAsia" w:ascii="仿宋" w:hAnsi="仿宋" w:eastAsia="仿宋" w:cs="黑体"/>
                <w:color w:val="0D0D0D" w:themeColor="text1" w:themeTint="F2"/>
                <w:sz w:val="28"/>
                <w:szCs w:val="28"/>
                <w:lang w:val="en-US" w:eastAsia="zh-CN"/>
                <w14:textFill>
                  <w14:solidFill>
                    <w14:schemeClr w14:val="tx1">
                      <w14:lumMod w14:val="95000"/>
                      <w14:lumOff w14:val="5000"/>
                    </w14:schemeClr>
                  </w14:solidFill>
                </w14:textFill>
              </w:rPr>
              <w:t>纸质文件拍摄</w:t>
            </w:r>
            <w:r>
              <w:rPr>
                <w:rFonts w:hint="eastAsia" w:ascii="仿宋" w:hAnsi="仿宋" w:eastAsia="仿宋" w:cs="黑体"/>
                <w:color w:val="0D0D0D" w:themeColor="text1" w:themeTint="F2"/>
                <w:sz w:val="28"/>
                <w:szCs w:val="28"/>
                <w14:textFill>
                  <w14:solidFill>
                    <w14:schemeClr w14:val="tx1">
                      <w14:lumMod w14:val="95000"/>
                      <w14:lumOff w14:val="5000"/>
                    </w14:schemeClr>
                  </w14:solidFill>
                </w14:textFill>
              </w:rPr>
              <w:t>泄露的风险；</w:t>
            </w:r>
          </w:p>
          <w:p>
            <w:pPr>
              <w:pStyle w:val="2"/>
              <w:numPr>
                <w:ilvl w:val="0"/>
                <w:numId w:val="5"/>
              </w:numPr>
              <w:ind w:left="420" w:leftChars="0" w:hanging="420" w:firstLineChars="0"/>
              <w:rPr>
                <w:rFonts w:hint="default"/>
                <w:lang w:val="en-US" w:eastAsia="zh-CN"/>
              </w:rPr>
            </w:pPr>
            <w:r>
              <w:rPr>
                <w:rFonts w:hint="eastAsia" w:ascii="仿宋" w:hAnsi="仿宋" w:eastAsia="仿宋" w:cs="黑体"/>
                <w:color w:val="0D0D0D" w:themeColor="text1" w:themeTint="F2"/>
                <w:kern w:val="2"/>
                <w:sz w:val="28"/>
                <w:szCs w:val="28"/>
                <w:lang w:val="en-US" w:eastAsia="zh-CN" w:bidi="ar-SA"/>
                <w14:textFill>
                  <w14:solidFill>
                    <w14:schemeClr w14:val="tx1">
                      <w14:lumMod w14:val="95000"/>
                      <w14:lumOff w14:val="5000"/>
                    </w14:schemeClr>
                  </w14:solidFill>
                </w14:textFill>
              </w:rPr>
              <w:t>快速、精准定位泄密源头，降低发生屏幕拍摄、纸质文件拍摄泄露后的溯源成本、缩短调查时间；</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7FA7A"/>
    <w:multiLevelType w:val="singleLevel"/>
    <w:tmpl w:val="A847FA7A"/>
    <w:lvl w:ilvl="0" w:tentative="0">
      <w:start w:val="1"/>
      <w:numFmt w:val="decimal"/>
      <w:suff w:val="nothing"/>
      <w:lvlText w:val="（%1）"/>
      <w:lvlJc w:val="left"/>
    </w:lvl>
  </w:abstractNum>
  <w:abstractNum w:abstractNumId="1">
    <w:nsid w:val="D6BDE7FD"/>
    <w:multiLevelType w:val="singleLevel"/>
    <w:tmpl w:val="D6BDE7FD"/>
    <w:lvl w:ilvl="0" w:tentative="0">
      <w:start w:val="1"/>
      <w:numFmt w:val="bullet"/>
      <w:lvlText w:val=""/>
      <w:lvlJc w:val="left"/>
      <w:pPr>
        <w:ind w:left="420" w:hanging="420"/>
      </w:pPr>
      <w:rPr>
        <w:rFonts w:hint="default" w:ascii="Wingdings" w:hAnsi="Wingdings"/>
        <w:sz w:val="18"/>
        <w:szCs w:val="18"/>
      </w:rPr>
    </w:lvl>
  </w:abstractNum>
  <w:abstractNum w:abstractNumId="2">
    <w:nsid w:val="F0EDF8A7"/>
    <w:multiLevelType w:val="singleLevel"/>
    <w:tmpl w:val="F0EDF8A7"/>
    <w:lvl w:ilvl="0" w:tentative="0">
      <w:start w:val="1"/>
      <w:numFmt w:val="chineseCounting"/>
      <w:suff w:val="nothing"/>
      <w:lvlText w:val="%1、"/>
      <w:lvlJc w:val="left"/>
      <w:rPr>
        <w:rFonts w:hint="eastAsia"/>
      </w:rPr>
    </w:lvl>
  </w:abstractNum>
  <w:abstractNum w:abstractNumId="3">
    <w:nsid w:val="4DD5304A"/>
    <w:multiLevelType w:val="singleLevel"/>
    <w:tmpl w:val="4DD5304A"/>
    <w:lvl w:ilvl="0" w:tentative="0">
      <w:start w:val="1"/>
      <w:numFmt w:val="bullet"/>
      <w:lvlText w:val=""/>
      <w:lvlJc w:val="left"/>
      <w:pPr>
        <w:ind w:left="420" w:hanging="420"/>
      </w:pPr>
      <w:rPr>
        <w:rFonts w:hint="default" w:ascii="Wingdings" w:hAnsi="Wingdings"/>
      </w:rPr>
    </w:lvl>
  </w:abstractNum>
  <w:abstractNum w:abstractNumId="4">
    <w:nsid w:val="4F37F1B4"/>
    <w:multiLevelType w:val="singleLevel"/>
    <w:tmpl w:val="4F37F1B4"/>
    <w:lvl w:ilvl="0" w:tentative="0">
      <w:start w:val="1"/>
      <w:numFmt w:val="bullet"/>
      <w:lvlText w:val=""/>
      <w:lvlJc w:val="left"/>
      <w:pPr>
        <w:ind w:left="420" w:hanging="420"/>
      </w:pPr>
      <w:rPr>
        <w:rFonts w:hint="default" w:ascii="Wingdings" w:hAnsi="Wingdings"/>
        <w:sz w:val="21"/>
        <w:szCs w:val="21"/>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YzZkNjc3MWE5YmYxYzdjY2ViMzc4NjBlZmQ4YzIifQ=="/>
  </w:docVars>
  <w:rsids>
    <w:rsidRoot w:val="00000000"/>
    <w:rsid w:val="0AEA1219"/>
    <w:rsid w:val="3F046C60"/>
    <w:rsid w:val="66C25CBF"/>
    <w:rsid w:val="684E716B"/>
    <w:rsid w:val="7E475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rPr>
      <w:color w:val="0D0D0D" w:themeColor="text1" w:themeTint="F2"/>
      <w:sz w:val="24"/>
      <w:szCs w:val="24"/>
      <w14:textFill>
        <w14:solidFill>
          <w14:schemeClr w14:val="tx1">
            <w14:lumMod w14:val="95000"/>
            <w14:lumOff w14:val="5000"/>
          </w14:schemeClr>
        </w14:solidFill>
      </w14:textFill>
    </w:rPr>
  </w:style>
  <w:style w:type="paragraph" w:styleId="3">
    <w:name w:val="caption"/>
    <w:basedOn w:val="1"/>
    <w:next w:val="1"/>
    <w:semiHidden/>
    <w:unhideWhenUsed/>
    <w:qFormat/>
    <w:uiPriority w:val="35"/>
    <w:rPr>
      <w:rFonts w:ascii="Arial" w:hAnsi="Arial" w:eastAsia="黑体"/>
      <w:sz w:val="20"/>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2022-06-09T02:12:00Z</dcterms:created>
  <dc:creator>Shimei_Que</dc:creator>
  <cp:lastModifiedBy>Siheng Li</cp:lastModifiedBy>
  <dcterms:modified xsi:type="dcterms:W3CDTF">2023-10-11T09:39:03Z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A1D1DA7B130A4E47B7E37037388FAA05_13</vt:lpwstr>
  </property>
</Properties>
</file>