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bCs/>
          <w:sz w:val="32"/>
          <w:szCs w:val="32"/>
        </w:rPr>
      </w:pPr>
      <w:r>
        <w:rPr>
          <w:rFonts w:hint="eastAsia" w:ascii="Times New Roman" w:hAnsi="Times New Roman"/>
          <w:b/>
          <w:bCs/>
          <w:sz w:val="32"/>
          <w:szCs w:val="32"/>
        </w:rPr>
        <w:t>深圳市南山区全民健康信息平台与一体化公共卫生信息平台</w:t>
      </w:r>
    </w:p>
    <w:p>
      <w:pPr>
        <w:jc w:val="center"/>
        <w:rPr>
          <w:rFonts w:ascii="Times New Roman" w:hAnsi="Times New Roman"/>
          <w:b/>
          <w:bCs/>
          <w:sz w:val="32"/>
          <w:szCs w:val="32"/>
        </w:rPr>
      </w:pPr>
      <w:r>
        <w:rPr>
          <w:rFonts w:hint="eastAsia" w:ascii="Times New Roman" w:hAnsi="Times New Roman"/>
          <w:b/>
          <w:bCs/>
          <w:sz w:val="32"/>
          <w:szCs w:val="32"/>
          <w:lang w:val="en-US" w:eastAsia="zh-CN"/>
        </w:rPr>
        <w:t>测评</w:t>
      </w:r>
      <w:r>
        <w:rPr>
          <w:rFonts w:hint="eastAsia" w:ascii="Times New Roman" w:hAnsi="Times New Roman"/>
          <w:b/>
          <w:bCs/>
          <w:sz w:val="32"/>
          <w:szCs w:val="32"/>
        </w:rPr>
        <w:t>方案</w:t>
      </w:r>
    </w:p>
    <w:p>
      <w:pPr>
        <w:pStyle w:val="2"/>
        <w:numPr>
          <w:ilvl w:val="0"/>
          <w:numId w:val="1"/>
        </w:numPr>
        <w:ind w:left="0" w:firstLine="0"/>
      </w:pPr>
      <w:r>
        <w:rPr>
          <w:rFonts w:hint="eastAsia"/>
        </w:rPr>
        <w:t>概况</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为了推进深圳市南山区智慧医疗共享健康管理体系，促进区域医疗发展，需将分散在不同机构健康数据整合为</w:t>
      </w:r>
      <w:r>
        <w:rPr>
          <w:rFonts w:hint="eastAsia" w:ascii="Times New Roman" w:hAnsi="Times New Roman" w:eastAsia="宋体" w:cs="宋体"/>
          <w:sz w:val="24"/>
          <w:lang w:val="en-US" w:eastAsia="zh-CN"/>
        </w:rPr>
        <w:t>以人为中心</w:t>
      </w:r>
      <w:r>
        <w:rPr>
          <w:rFonts w:hint="eastAsia" w:ascii="Times New Roman" w:hAnsi="Times New Roman" w:eastAsia="宋体" w:cs="宋体"/>
          <w:sz w:val="24"/>
        </w:rPr>
        <w:t>逻辑完整的信息整体，建设南山区全民健康信息平台与一体化公共卫生信息平台（以下简称：平台），以满足各种机构和人员需要，使医疗服务人员在任何时间、任何地点都能及时获取必要的信息，以支持高质量的医疗服务；使公共卫生工作者能全面掌握人群健康信息，做好疾病预防、控制和健康促进工作；使居民能掌握和获取自己完整的健康资料，参与健康管理，享受持续、跨地区、跨机构的医疗卫生服务；使卫生管理者能动态掌握卫生服务资源和利用信息，实现科学管理和决策，从而达到有效地控制医疗费用的不合理增长、减少医疗差错、提高医疗与服务质量。现聘请第三方机构和专家组分别对供应商的平台进行标准符合性测试和平台功能及应用进行评审，以遴选符合要求的平台产品。</w:t>
      </w:r>
    </w:p>
    <w:p>
      <w:pPr>
        <w:pStyle w:val="2"/>
        <w:numPr>
          <w:ilvl w:val="0"/>
          <w:numId w:val="1"/>
        </w:numPr>
        <w:ind w:left="0" w:firstLine="0"/>
      </w:pPr>
      <w:r>
        <w:rPr>
          <w:rFonts w:hint="eastAsia"/>
        </w:rPr>
        <w:t>目标</w:t>
      </w:r>
    </w:p>
    <w:p>
      <w:pPr>
        <w:pStyle w:val="7"/>
        <w:numPr>
          <w:ilvl w:val="0"/>
          <w:numId w:val="2"/>
        </w:numPr>
        <w:ind w:firstLine="480" w:firstLineChars="200"/>
        <w:rPr>
          <w:rFonts w:ascii="Times New Roman" w:hAnsi="Times New Roman" w:eastAsia="宋体" w:cs="宋体"/>
          <w:sz w:val="24"/>
        </w:rPr>
      </w:pPr>
      <w:r>
        <w:rPr>
          <w:rFonts w:hint="eastAsia" w:ascii="Times New Roman" w:hAnsi="Times New Roman" w:eastAsia="宋体" w:cs="宋体"/>
          <w:sz w:val="24"/>
        </w:rPr>
        <w:t>平台标准符合性</w:t>
      </w:r>
    </w:p>
    <w:p>
      <w:pPr>
        <w:pStyle w:val="7"/>
        <w:numPr>
          <w:ilvl w:val="0"/>
          <w:numId w:val="2"/>
        </w:numPr>
        <w:ind w:firstLine="480" w:firstLineChars="200"/>
        <w:rPr>
          <w:rFonts w:ascii="Times New Roman" w:hAnsi="Times New Roman" w:eastAsia="宋体" w:cs="宋体"/>
          <w:sz w:val="24"/>
        </w:rPr>
      </w:pPr>
      <w:r>
        <w:rPr>
          <w:rFonts w:hint="eastAsia" w:ascii="Times New Roman" w:hAnsi="Times New Roman" w:eastAsia="宋体" w:cs="宋体"/>
          <w:sz w:val="24"/>
        </w:rPr>
        <w:t>平台技术可行性</w:t>
      </w:r>
    </w:p>
    <w:p>
      <w:pPr>
        <w:pStyle w:val="7"/>
        <w:numPr>
          <w:ilvl w:val="0"/>
          <w:numId w:val="2"/>
        </w:numPr>
        <w:ind w:firstLine="480" w:firstLineChars="200"/>
        <w:rPr>
          <w:rFonts w:ascii="Times New Roman" w:hAnsi="Times New Roman" w:eastAsia="宋体" w:cs="宋体"/>
          <w:sz w:val="24"/>
        </w:rPr>
      </w:pPr>
      <w:r>
        <w:rPr>
          <w:rFonts w:hint="eastAsia" w:ascii="Times New Roman" w:hAnsi="Times New Roman" w:eastAsia="宋体" w:cs="宋体"/>
          <w:sz w:val="24"/>
        </w:rPr>
        <w:t>平台性能可靠性</w:t>
      </w:r>
    </w:p>
    <w:p>
      <w:pPr>
        <w:pStyle w:val="7"/>
        <w:numPr>
          <w:ilvl w:val="0"/>
          <w:numId w:val="2"/>
        </w:numPr>
        <w:ind w:firstLine="480" w:firstLineChars="200"/>
        <w:rPr>
          <w:rFonts w:ascii="Times New Roman" w:hAnsi="Times New Roman" w:eastAsia="宋体" w:cs="宋体"/>
          <w:sz w:val="24"/>
        </w:rPr>
      </w:pPr>
      <w:r>
        <w:rPr>
          <w:rFonts w:hint="eastAsia" w:ascii="Times New Roman" w:hAnsi="Times New Roman" w:eastAsia="宋体" w:cs="宋体"/>
          <w:sz w:val="24"/>
        </w:rPr>
        <w:t>平台功能可用性</w:t>
      </w:r>
    </w:p>
    <w:p>
      <w:pPr>
        <w:pStyle w:val="2"/>
        <w:numPr>
          <w:ilvl w:val="0"/>
          <w:numId w:val="1"/>
        </w:numPr>
        <w:ind w:left="0" w:firstLine="0"/>
      </w:pPr>
      <w:r>
        <w:rPr>
          <w:rFonts w:hint="eastAsia"/>
        </w:rPr>
        <w:t>方法</w:t>
      </w:r>
    </w:p>
    <w:p>
      <w:pPr>
        <w:spacing w:line="360" w:lineRule="auto"/>
        <w:ind w:firstLine="480" w:firstLineChars="200"/>
        <w:rPr>
          <w:rFonts w:hint="default" w:ascii="Times New Roman" w:hAnsi="Times New Roman" w:eastAsia="宋体" w:cs="宋体"/>
          <w:sz w:val="24"/>
          <w:lang w:val="en-US" w:eastAsia="zh-CN"/>
        </w:rPr>
      </w:pPr>
      <w:r>
        <w:rPr>
          <w:rFonts w:hint="eastAsia" w:ascii="Times New Roman" w:hAnsi="Times New Roman" w:eastAsia="宋体" w:cs="宋体"/>
          <w:sz w:val="24"/>
        </w:rPr>
        <w:t>根据《区域全民健康信息互联互通标准化成熟度测评方案（2020版）》，南山区全民健康信息平台和一体化公共卫生信息平台的建设要求，南山区全民健康信息平台与一体化公共卫生信息平台产品评审内容分为标准符合性测试和平台整体功能及应用效果两部分。</w:t>
      </w:r>
    </w:p>
    <w:p>
      <w:pPr>
        <w:pStyle w:val="3"/>
      </w:pPr>
      <w:r>
        <w:rPr>
          <w:rFonts w:hint="eastAsia"/>
          <w:lang w:val="en-US" w:eastAsia="zh-CN"/>
        </w:rPr>
        <w:t>3</w:t>
      </w:r>
      <w:r>
        <w:rPr>
          <w:rFonts w:hint="eastAsia"/>
        </w:rPr>
        <w:t>.1平台标准符合性测试</w:t>
      </w:r>
    </w:p>
    <w:p>
      <w:pPr>
        <w:spacing w:line="360" w:lineRule="auto"/>
        <w:ind w:firstLine="480" w:firstLineChars="200"/>
        <w:rPr>
          <w:rFonts w:hint="eastAsia" w:ascii="Times New Roman" w:hAnsi="Times New Roman" w:eastAsia="宋体" w:cs="宋体"/>
          <w:sz w:val="24"/>
        </w:rPr>
      </w:pPr>
      <w:r>
        <w:rPr>
          <w:rFonts w:hint="eastAsia" w:ascii="Times New Roman" w:hAnsi="Times New Roman" w:eastAsia="宋体" w:cs="宋体"/>
          <w:sz w:val="24"/>
        </w:rPr>
        <w:t>平台标准符合性测试内容包括2部分，分别为：共享文档标准符合性测试和交互服务非注入类标准符合性测试。共享文档标准符合性测试依据WS/T 483-2016、WS/T 363-2023、WS/T 364-2023、WS 365-2011、WS 375.9-2012、WS 376.1-2013的要求，测试健康档案共享文档的文档结构和文档内容的标准符合性。交互服务标准符合性测试依据区域全民健康信息平台交互规范（WS/T 790—2021）的要求，测试平台上非注入类的交互服务解析、处理和响应的标准符合性；注入类的交互服务要求平台已部署或具备相关的服务。</w:t>
      </w:r>
    </w:p>
    <w:p>
      <w:pPr>
        <w:pStyle w:val="3"/>
      </w:pPr>
      <w:r>
        <w:rPr>
          <w:rFonts w:hint="eastAsia"/>
          <w:lang w:val="en-US" w:eastAsia="zh-CN"/>
        </w:rPr>
        <w:t>3</w:t>
      </w:r>
      <w:r>
        <w:rPr>
          <w:rFonts w:hint="eastAsia"/>
        </w:rPr>
        <w:t>.2平台功能及应用</w:t>
      </w:r>
      <w:r>
        <w:rPr>
          <w:rFonts w:hint="eastAsia"/>
          <w:lang w:val="en-US" w:eastAsia="zh-CN"/>
        </w:rPr>
        <w:t>效果</w:t>
      </w:r>
      <w:r>
        <w:rPr>
          <w:rFonts w:hint="eastAsia"/>
        </w:rPr>
        <w:t>评审</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平台功能及应用情况</w:t>
      </w:r>
      <w:r>
        <w:rPr>
          <w:rFonts w:ascii="Times New Roman" w:hAnsi="Times New Roman" w:eastAsia="宋体" w:cs="宋体"/>
          <w:sz w:val="24"/>
        </w:rPr>
        <w:t>主要</w:t>
      </w:r>
      <w:r>
        <w:rPr>
          <w:rFonts w:hint="eastAsia" w:ascii="Times New Roman" w:hAnsi="Times New Roman" w:eastAsia="宋体" w:cs="宋体"/>
          <w:sz w:val="24"/>
        </w:rPr>
        <w:t>依</w:t>
      </w:r>
      <w:r>
        <w:rPr>
          <w:rFonts w:ascii="Times New Roman" w:hAnsi="Times New Roman" w:eastAsia="宋体" w:cs="宋体"/>
          <w:sz w:val="24"/>
        </w:rPr>
        <w:t>据</w:t>
      </w:r>
      <w:r>
        <w:rPr>
          <w:rFonts w:hint="eastAsia" w:ascii="Times New Roman" w:hAnsi="Times New Roman" w:eastAsia="宋体" w:cs="宋体"/>
          <w:sz w:val="24"/>
        </w:rPr>
        <w:t>南山区</w:t>
      </w:r>
      <w:r>
        <w:rPr>
          <w:rFonts w:ascii="Times New Roman" w:hAnsi="Times New Roman" w:eastAsia="宋体" w:cs="宋体"/>
          <w:sz w:val="24"/>
        </w:rPr>
        <w:t>全民健康信息</w:t>
      </w:r>
      <w:r>
        <w:rPr>
          <w:rFonts w:hint="eastAsia" w:ascii="Times New Roman" w:hAnsi="Times New Roman" w:eastAsia="宋体" w:cs="宋体"/>
          <w:sz w:val="24"/>
        </w:rPr>
        <w:t>平台与一体化公共卫生信息平台设计方案内容</w:t>
      </w:r>
      <w:r>
        <w:rPr>
          <w:rFonts w:ascii="Times New Roman" w:hAnsi="Times New Roman" w:eastAsia="宋体" w:cs="宋体"/>
          <w:sz w:val="24"/>
        </w:rPr>
        <w:t>，通过现场演示</w:t>
      </w:r>
      <w:r>
        <w:rPr>
          <w:rFonts w:hint="eastAsia" w:ascii="Times New Roman" w:hAnsi="Times New Roman" w:eastAsia="宋体" w:cs="宋体"/>
          <w:sz w:val="24"/>
        </w:rPr>
        <w:t>和</w:t>
      </w:r>
      <w:r>
        <w:rPr>
          <w:rFonts w:ascii="Times New Roman" w:hAnsi="Times New Roman" w:eastAsia="宋体" w:cs="宋体"/>
          <w:sz w:val="24"/>
        </w:rPr>
        <w:t>答疑等形式对测评对象的功能进行评审</w:t>
      </w:r>
      <w:r>
        <w:rPr>
          <w:rFonts w:hint="eastAsia" w:ascii="Times New Roman" w:hAnsi="Times New Roman" w:eastAsia="宋体" w:cs="宋体"/>
          <w:sz w:val="24"/>
        </w:rPr>
        <w:t>，专家组在</w:t>
      </w:r>
      <w:r>
        <w:rPr>
          <w:rFonts w:hint="eastAsia" w:ascii="Times New Roman" w:hAnsi="Times New Roman" w:eastAsia="宋体" w:cs="宋体"/>
          <w:sz w:val="24"/>
          <w:lang w:val="en-US" w:eastAsia="zh-CN"/>
        </w:rPr>
        <w:t>数据中台能力、集成引擎能力</w:t>
      </w:r>
      <w:r>
        <w:rPr>
          <w:rFonts w:hint="eastAsia" w:ascii="Times New Roman" w:hAnsi="Times New Roman" w:eastAsia="宋体" w:cs="宋体"/>
          <w:sz w:val="24"/>
        </w:rPr>
        <w:t>、</w:t>
      </w:r>
      <w:r>
        <w:rPr>
          <w:rFonts w:hint="eastAsia" w:ascii="Times New Roman" w:hAnsi="Times New Roman" w:eastAsia="宋体" w:cs="宋体"/>
          <w:sz w:val="24"/>
          <w:lang w:val="en-US" w:eastAsia="zh-CN"/>
        </w:rPr>
        <w:t>平台应用、公共卫生业务应用、备份及容灾等</w:t>
      </w:r>
      <w:r>
        <w:rPr>
          <w:rFonts w:hint="eastAsia" w:ascii="Times New Roman" w:hAnsi="Times New Roman" w:eastAsia="宋体" w:cs="宋体"/>
          <w:sz w:val="24"/>
        </w:rPr>
        <w:t>各项评审内容</w:t>
      </w:r>
      <w:r>
        <w:rPr>
          <w:rFonts w:hint="eastAsia" w:ascii="Times New Roman" w:hAnsi="Times New Roman" w:eastAsia="宋体" w:cs="宋体"/>
          <w:sz w:val="24"/>
          <w:lang w:val="en-US" w:eastAsia="zh-CN"/>
        </w:rPr>
        <w:t>进行综合测评</w:t>
      </w:r>
      <w:r>
        <w:rPr>
          <w:rFonts w:hint="eastAsia" w:ascii="Times New Roman" w:hAnsi="Times New Roman" w:eastAsia="宋体" w:cs="宋体"/>
          <w:sz w:val="24"/>
        </w:rPr>
        <w:t>并给出专家组的最终意见</w:t>
      </w:r>
      <w:r>
        <w:rPr>
          <w:rFonts w:ascii="Times New Roman" w:hAnsi="Times New Roman" w:eastAsia="宋体" w:cs="宋体"/>
          <w:sz w:val="24"/>
        </w:rPr>
        <w:t>。</w:t>
      </w:r>
    </w:p>
    <w:p>
      <w:pPr>
        <w:pStyle w:val="4"/>
        <w:spacing w:before="20" w:after="20" w:line="360" w:lineRule="auto"/>
        <w:rPr>
          <w:rFonts w:ascii="Times New Roman" w:hAnsi="Times New Roman"/>
          <w:sz w:val="24"/>
          <w:szCs w:val="21"/>
        </w:rPr>
      </w:pPr>
      <w:r>
        <w:rPr>
          <w:rFonts w:hint="eastAsia" w:ascii="Times New Roman" w:hAnsi="Times New Roman"/>
          <w:sz w:val="24"/>
          <w:szCs w:val="21"/>
          <w:lang w:val="en-US" w:eastAsia="zh-CN"/>
        </w:rPr>
        <w:t>3</w:t>
      </w:r>
      <w:r>
        <w:rPr>
          <w:rFonts w:hint="eastAsia" w:ascii="Times New Roman" w:hAnsi="Times New Roman"/>
          <w:sz w:val="24"/>
          <w:szCs w:val="21"/>
        </w:rPr>
        <w:t>.2.1</w:t>
      </w:r>
      <w:r>
        <w:rPr>
          <w:rFonts w:hint="eastAsia" w:ascii="Times New Roman" w:hAnsi="Times New Roman"/>
          <w:sz w:val="24"/>
          <w:szCs w:val="21"/>
          <w:lang w:val="en-US" w:eastAsia="zh-CN"/>
        </w:rPr>
        <w:t>平台能力</w:t>
      </w:r>
    </w:p>
    <w:tbl>
      <w:tblPr>
        <w:tblStyle w:val="9"/>
        <w:tblW w:w="897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
      <w:tblGrid>
        <w:gridCol w:w="602"/>
        <w:gridCol w:w="2770"/>
        <w:gridCol w:w="560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70" w:hRule="atLeast"/>
        </w:trPr>
        <w:tc>
          <w:tcPr>
            <w:tcW w:w="602" w:type="dxa"/>
            <w:tcBorders>
              <w:tl2br w:val="nil"/>
              <w:tr2bl w:val="nil"/>
            </w:tcBorders>
            <w:shd w:val="clear" w:color="auto" w:fill="auto"/>
            <w:tcMar>
              <w:top w:w="0" w:type="dxa"/>
              <w:left w:w="72" w:type="dxa"/>
              <w:bottom w:w="0" w:type="dxa"/>
              <w:right w:w="72" w:type="dxa"/>
            </w:tcMar>
          </w:tcPr>
          <w:p>
            <w:pPr>
              <w:pStyle w:val="8"/>
              <w:widowControl/>
              <w:jc w:val="center"/>
            </w:pPr>
            <w:r>
              <w:rPr>
                <w:rFonts w:hint="eastAsia" w:ascii="宋体" w:hAnsi="宋体" w:eastAsia="宋体" w:cs="宋体"/>
                <w:b/>
                <w:bCs/>
                <w:color w:val="000000"/>
                <w:sz w:val="21"/>
                <w:szCs w:val="21"/>
              </w:rPr>
              <w:t>序号</w:t>
            </w:r>
          </w:p>
        </w:tc>
        <w:tc>
          <w:tcPr>
            <w:tcW w:w="2770" w:type="dxa"/>
            <w:tcBorders>
              <w:tl2br w:val="nil"/>
              <w:tr2bl w:val="nil"/>
            </w:tcBorders>
            <w:shd w:val="clear" w:color="auto" w:fill="auto"/>
            <w:tcMar>
              <w:top w:w="0" w:type="dxa"/>
              <w:left w:w="72" w:type="dxa"/>
              <w:bottom w:w="0" w:type="dxa"/>
              <w:right w:w="72" w:type="dxa"/>
            </w:tcMar>
          </w:tcPr>
          <w:p>
            <w:pPr>
              <w:pStyle w:val="8"/>
              <w:widowControl/>
              <w:jc w:val="center"/>
            </w:pPr>
            <w:r>
              <w:rPr>
                <w:rFonts w:hint="eastAsia" w:ascii="宋体" w:hAnsi="宋体" w:eastAsia="宋体" w:cs="宋体"/>
                <w:b/>
                <w:bCs/>
                <w:color w:val="000000"/>
                <w:sz w:val="21"/>
                <w:szCs w:val="21"/>
                <w:lang w:val="en-US" w:eastAsia="zh-CN"/>
              </w:rPr>
              <w:t>测评</w:t>
            </w:r>
            <w:r>
              <w:rPr>
                <w:rFonts w:hint="eastAsia" w:ascii="宋体" w:hAnsi="宋体" w:eastAsia="宋体" w:cs="宋体"/>
                <w:b/>
                <w:bCs/>
                <w:color w:val="000000"/>
                <w:sz w:val="21"/>
                <w:szCs w:val="21"/>
              </w:rPr>
              <w:t>项</w:t>
            </w:r>
          </w:p>
        </w:tc>
        <w:tc>
          <w:tcPr>
            <w:tcW w:w="5606" w:type="dxa"/>
            <w:tcBorders>
              <w:tl2br w:val="nil"/>
              <w:tr2bl w:val="nil"/>
            </w:tcBorders>
            <w:shd w:val="clear" w:color="auto" w:fill="auto"/>
            <w:tcMar>
              <w:top w:w="0" w:type="dxa"/>
              <w:left w:w="72" w:type="dxa"/>
              <w:bottom w:w="0" w:type="dxa"/>
              <w:right w:w="72" w:type="dxa"/>
            </w:tcMar>
          </w:tcPr>
          <w:p>
            <w:pPr>
              <w:pStyle w:val="8"/>
              <w:widowControl/>
              <w:jc w:val="center"/>
              <w:rPr>
                <w:rFonts w:hint="default"/>
                <w:lang w:val="en-US"/>
              </w:rPr>
            </w:pPr>
            <w:r>
              <w:rPr>
                <w:rFonts w:hint="eastAsia" w:ascii="宋体" w:hAnsi="宋体" w:eastAsia="宋体" w:cs="宋体"/>
                <w:b/>
                <w:bCs/>
                <w:color w:val="000000"/>
                <w:sz w:val="21"/>
                <w:szCs w:val="21"/>
                <w:lang w:val="en-US" w:eastAsia="zh-CN"/>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pPr>
            <w:r>
              <w:rPr>
                <w:rFonts w:hint="eastAsia" w:ascii="宋体" w:hAnsi="宋体" w:eastAsia="宋体" w:cs="宋体"/>
                <w:color w:val="000000"/>
                <w:sz w:val="21"/>
                <w:szCs w:val="21"/>
              </w:rPr>
              <w:t>1</w:t>
            </w:r>
          </w:p>
        </w:tc>
        <w:tc>
          <w:tcPr>
            <w:tcW w:w="2770" w:type="dxa"/>
            <w:vMerge w:val="restart"/>
            <w:tcBorders>
              <w:tl2br w:val="nil"/>
              <w:tr2bl w:val="nil"/>
            </w:tcBorders>
            <w:shd w:val="clear" w:color="auto" w:fill="auto"/>
            <w:tcMar>
              <w:top w:w="0" w:type="dxa"/>
              <w:left w:w="72" w:type="dxa"/>
              <w:bottom w:w="0" w:type="dxa"/>
              <w:right w:w="72" w:type="dxa"/>
            </w:tcMar>
            <w:vAlign w:val="center"/>
          </w:tcPr>
          <w:p>
            <w:pPr>
              <w:pStyle w:val="8"/>
              <w:widowControl/>
              <w:jc w:val="center"/>
              <w:rPr>
                <w:rFonts w:hint="default" w:eastAsiaTheme="minorEastAsia"/>
                <w:lang w:val="en-US" w:eastAsia="zh-CN"/>
              </w:rPr>
            </w:pPr>
            <w:r>
              <w:rPr>
                <w:rFonts w:hint="eastAsia"/>
                <w:sz w:val="20"/>
                <w:szCs w:val="20"/>
                <w:lang w:val="en-US" w:eastAsia="zh-CN"/>
              </w:rPr>
              <w:t>大数据集群</w:t>
            </w:r>
          </w:p>
        </w:tc>
        <w:tc>
          <w:tcPr>
            <w:tcW w:w="5606" w:type="dxa"/>
            <w:tcBorders>
              <w:tl2br w:val="nil"/>
              <w:tr2bl w:val="nil"/>
            </w:tcBorders>
            <w:shd w:val="clear" w:color="auto" w:fill="auto"/>
            <w:tcMar>
              <w:top w:w="0" w:type="dxa"/>
              <w:left w:w="72" w:type="dxa"/>
              <w:bottom w:w="0" w:type="dxa"/>
              <w:right w:w="72" w:type="dxa"/>
            </w:tcMar>
            <w:vAlign w:val="center"/>
          </w:tcPr>
          <w:p>
            <w:pPr>
              <w:widowControl/>
              <w:jc w:val="left"/>
              <w:textAlignment w:val="center"/>
              <w:rPr>
                <w:rFonts w:hint="default" w:eastAsiaTheme="minorEastAsia"/>
                <w:lang w:val="en-US" w:eastAsia="zh-CN"/>
              </w:rPr>
            </w:pPr>
            <w:r>
              <w:rPr>
                <w:rFonts w:hint="eastAsia" w:ascii="宋体" w:hAnsi="宋体" w:eastAsia="宋体" w:cs="宋体"/>
                <w:color w:val="000000"/>
                <w:kern w:val="0"/>
                <w:sz w:val="20"/>
                <w:szCs w:val="20"/>
                <w:lang w:val="en-US" w:eastAsia="zh-CN" w:bidi="ar"/>
              </w:rPr>
              <w:t>架构先进性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2770" w:type="dxa"/>
            <w:vMerge w:val="continue"/>
            <w:tcBorders>
              <w:tl2br w:val="nil"/>
              <w:tr2bl w:val="nil"/>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kern w:val="0"/>
                <w:sz w:val="20"/>
                <w:szCs w:val="20"/>
                <w:lang w:val="en-US" w:eastAsia="zh-CN" w:bidi="ar"/>
              </w:rPr>
            </w:pPr>
          </w:p>
        </w:tc>
        <w:tc>
          <w:tcPr>
            <w:tcW w:w="5606" w:type="dxa"/>
            <w:tcBorders>
              <w:tl2br w:val="nil"/>
              <w:tr2bl w:val="nil"/>
            </w:tcBorders>
            <w:shd w:val="clear" w:color="auto" w:fill="auto"/>
            <w:tcMar>
              <w:top w:w="0" w:type="dxa"/>
              <w:left w:w="72" w:type="dxa"/>
              <w:bottom w:w="0" w:type="dxa"/>
              <w:right w:w="72"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集群管理能力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2770" w:type="dxa"/>
            <w:vMerge w:val="continue"/>
            <w:tcBorders>
              <w:tl2br w:val="nil"/>
              <w:tr2bl w:val="nil"/>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kern w:val="0"/>
                <w:sz w:val="20"/>
                <w:szCs w:val="20"/>
                <w:lang w:val="en-US" w:eastAsia="zh-CN" w:bidi="ar"/>
              </w:rPr>
            </w:pPr>
          </w:p>
        </w:tc>
        <w:tc>
          <w:tcPr>
            <w:tcW w:w="5606" w:type="dxa"/>
            <w:tcBorders>
              <w:tl2br w:val="nil"/>
              <w:tr2bl w:val="nil"/>
            </w:tcBorders>
            <w:shd w:val="clear" w:color="auto" w:fill="auto"/>
            <w:tcMar>
              <w:top w:w="0" w:type="dxa"/>
              <w:left w:w="72" w:type="dxa"/>
              <w:bottom w:w="0" w:type="dxa"/>
              <w:right w:w="72"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软硬件兼容性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2770" w:type="dxa"/>
            <w:vMerge w:val="continue"/>
            <w:tcBorders>
              <w:tl2br w:val="nil"/>
              <w:tr2bl w:val="nil"/>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kern w:val="0"/>
                <w:sz w:val="20"/>
                <w:szCs w:val="20"/>
                <w:lang w:val="en-US" w:eastAsia="zh-CN" w:bidi="ar"/>
              </w:rPr>
            </w:pPr>
          </w:p>
        </w:tc>
        <w:tc>
          <w:tcPr>
            <w:tcW w:w="5606" w:type="dxa"/>
            <w:tcBorders>
              <w:tl2br w:val="nil"/>
              <w:tr2bl w:val="nil"/>
            </w:tcBorders>
            <w:shd w:val="clear" w:color="auto" w:fill="auto"/>
            <w:tcMar>
              <w:top w:w="0" w:type="dxa"/>
              <w:left w:w="72" w:type="dxa"/>
              <w:bottom w:w="0" w:type="dxa"/>
              <w:right w:w="72"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开放性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eastAsia" w:eastAsiaTheme="minorEastAsia"/>
                <w:lang w:eastAsia="zh-CN"/>
              </w:rPr>
            </w:pPr>
            <w:r>
              <w:rPr>
                <w:rFonts w:hint="eastAsia" w:ascii="宋体" w:hAnsi="宋体" w:eastAsia="宋体" w:cs="宋体"/>
                <w:color w:val="000000"/>
                <w:sz w:val="21"/>
                <w:szCs w:val="21"/>
                <w:lang w:val="en-US" w:eastAsia="zh-CN"/>
              </w:rPr>
              <w:t>6</w:t>
            </w:r>
          </w:p>
        </w:tc>
        <w:tc>
          <w:tcPr>
            <w:tcW w:w="2770" w:type="dxa"/>
            <w:vMerge w:val="restart"/>
            <w:tcBorders>
              <w:tl2br w:val="nil"/>
              <w:tr2bl w:val="nil"/>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数据采集</w:t>
            </w:r>
          </w:p>
          <w:p>
            <w:pPr>
              <w:pStyle w:val="8"/>
              <w:widowControl/>
              <w:jc w:val="center"/>
            </w:pPr>
            <w:r>
              <w:rPr>
                <w:rFonts w:hint="eastAsia" w:ascii="宋体" w:hAnsi="宋体" w:eastAsia="宋体" w:cs="宋体"/>
                <w:color w:val="000000"/>
                <w:kern w:val="0"/>
                <w:sz w:val="20"/>
                <w:szCs w:val="20"/>
                <w:lang w:val="en-US" w:eastAsia="zh-CN" w:bidi="ar"/>
              </w:rPr>
              <w:t>管理</w:t>
            </w:r>
          </w:p>
        </w:tc>
        <w:tc>
          <w:tcPr>
            <w:tcW w:w="5606" w:type="dxa"/>
            <w:tcBorders>
              <w:tl2br w:val="nil"/>
              <w:tr2bl w:val="nil"/>
            </w:tcBorders>
            <w:shd w:val="clear" w:color="auto" w:fill="auto"/>
            <w:tcMar>
              <w:top w:w="0" w:type="dxa"/>
              <w:left w:w="72" w:type="dxa"/>
              <w:bottom w:w="0" w:type="dxa"/>
              <w:right w:w="72" w:type="dxa"/>
            </w:tcMar>
            <w:vAlign w:val="center"/>
          </w:tcPr>
          <w:p>
            <w:pPr>
              <w:pStyle w:val="8"/>
              <w:widowControl/>
              <w:jc w:val="both"/>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采集可视化管理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w:t>
            </w:r>
          </w:p>
        </w:tc>
        <w:tc>
          <w:tcPr>
            <w:tcW w:w="2770" w:type="dxa"/>
            <w:vMerge w:val="continue"/>
            <w:tcBorders>
              <w:tl2br w:val="nil"/>
              <w:tr2bl w:val="nil"/>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kern w:val="0"/>
                <w:sz w:val="20"/>
                <w:szCs w:val="20"/>
                <w:lang w:val="en-US" w:eastAsia="zh-CN" w:bidi="ar"/>
              </w:rPr>
            </w:pPr>
          </w:p>
        </w:tc>
        <w:tc>
          <w:tcPr>
            <w:tcW w:w="5606" w:type="dxa"/>
            <w:tcBorders>
              <w:tl2br w:val="nil"/>
              <w:tr2bl w:val="nil"/>
            </w:tcBorders>
            <w:shd w:val="clear" w:color="auto" w:fill="auto"/>
            <w:tcMar>
              <w:top w:w="0" w:type="dxa"/>
              <w:left w:w="72" w:type="dxa"/>
              <w:bottom w:w="0" w:type="dxa"/>
              <w:right w:w="72" w:type="dxa"/>
            </w:tcMar>
            <w:vAlign w:val="center"/>
          </w:tcPr>
          <w:p>
            <w:pPr>
              <w:pStyle w:val="8"/>
              <w:widowControl/>
              <w:jc w:val="both"/>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bidi="ar"/>
              </w:rPr>
              <w:t>实时</w:t>
            </w:r>
            <w:r>
              <w:rPr>
                <w:rFonts w:hint="eastAsia" w:ascii="宋体" w:hAnsi="宋体" w:eastAsia="宋体" w:cs="宋体"/>
                <w:color w:val="000000"/>
                <w:kern w:val="0"/>
                <w:sz w:val="20"/>
                <w:szCs w:val="20"/>
                <w:lang w:val="en-US" w:eastAsia="zh-CN" w:bidi="ar"/>
              </w:rPr>
              <w:t>数据</w:t>
            </w:r>
            <w:r>
              <w:rPr>
                <w:rFonts w:hint="eastAsia" w:ascii="宋体" w:hAnsi="宋体" w:eastAsia="宋体" w:cs="宋体"/>
                <w:color w:val="000000"/>
                <w:kern w:val="0"/>
                <w:sz w:val="20"/>
                <w:szCs w:val="20"/>
                <w:lang w:bidi="ar"/>
              </w:rPr>
              <w:t>采集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w:t>
            </w:r>
          </w:p>
        </w:tc>
        <w:tc>
          <w:tcPr>
            <w:tcW w:w="2770" w:type="dxa"/>
            <w:vMerge w:val="continue"/>
            <w:tcBorders>
              <w:tl2br w:val="nil"/>
              <w:tr2bl w:val="nil"/>
            </w:tcBorders>
            <w:shd w:val="clear" w:color="auto" w:fill="auto"/>
            <w:tcMar>
              <w:top w:w="0" w:type="dxa"/>
              <w:left w:w="72" w:type="dxa"/>
              <w:bottom w:w="0" w:type="dxa"/>
              <w:right w:w="72" w:type="dxa"/>
            </w:tcMar>
            <w:vAlign w:val="center"/>
          </w:tcPr>
          <w:p>
            <w:pPr>
              <w:pStyle w:val="8"/>
              <w:widowControl/>
              <w:jc w:val="center"/>
            </w:pPr>
          </w:p>
        </w:tc>
        <w:tc>
          <w:tcPr>
            <w:tcW w:w="5606" w:type="dxa"/>
            <w:tcBorders>
              <w:tl2br w:val="nil"/>
              <w:tr2bl w:val="nil"/>
            </w:tcBorders>
            <w:shd w:val="clear" w:color="auto" w:fill="auto"/>
            <w:tcMar>
              <w:top w:w="0" w:type="dxa"/>
              <w:left w:w="72" w:type="dxa"/>
              <w:bottom w:w="0" w:type="dxa"/>
              <w:right w:w="72" w:type="dxa"/>
            </w:tcMar>
            <w:vAlign w:val="center"/>
          </w:tcPr>
          <w:p>
            <w:pPr>
              <w:pStyle w:val="8"/>
              <w:widowControl/>
              <w:jc w:val="both"/>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批量</w:t>
            </w:r>
            <w:r>
              <w:rPr>
                <w:rFonts w:hint="eastAsia" w:ascii="宋体" w:hAnsi="宋体" w:eastAsia="宋体" w:cs="宋体"/>
                <w:color w:val="000000"/>
                <w:kern w:val="0"/>
                <w:sz w:val="20"/>
                <w:szCs w:val="20"/>
                <w:lang w:bidi="ar"/>
              </w:rPr>
              <w:t>数据采集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9</w:t>
            </w:r>
          </w:p>
        </w:tc>
        <w:tc>
          <w:tcPr>
            <w:tcW w:w="2770" w:type="dxa"/>
            <w:vMerge w:val="continue"/>
            <w:tcBorders>
              <w:tl2br w:val="nil"/>
              <w:tr2bl w:val="nil"/>
            </w:tcBorders>
            <w:shd w:val="clear" w:color="auto" w:fill="auto"/>
            <w:tcMar>
              <w:top w:w="0" w:type="dxa"/>
              <w:left w:w="72" w:type="dxa"/>
              <w:bottom w:w="0" w:type="dxa"/>
              <w:right w:w="72" w:type="dxa"/>
            </w:tcMar>
            <w:vAlign w:val="center"/>
          </w:tcPr>
          <w:p>
            <w:pPr>
              <w:pStyle w:val="8"/>
              <w:widowControl/>
              <w:jc w:val="center"/>
            </w:pPr>
          </w:p>
        </w:tc>
        <w:tc>
          <w:tcPr>
            <w:tcW w:w="5606" w:type="dxa"/>
            <w:tcBorders>
              <w:tl2br w:val="nil"/>
              <w:tr2bl w:val="nil"/>
            </w:tcBorders>
            <w:shd w:val="clear" w:color="auto" w:fill="auto"/>
            <w:tcMar>
              <w:top w:w="0" w:type="dxa"/>
              <w:left w:w="72" w:type="dxa"/>
              <w:bottom w:w="0" w:type="dxa"/>
              <w:right w:w="72" w:type="dxa"/>
            </w:tcMar>
            <w:vAlign w:val="center"/>
          </w:tcPr>
          <w:p>
            <w:pPr>
              <w:pStyle w:val="8"/>
              <w:widowControl/>
              <w:jc w:val="both"/>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数据采集一致性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w:t>
            </w:r>
          </w:p>
        </w:tc>
        <w:tc>
          <w:tcPr>
            <w:tcW w:w="2770" w:type="dxa"/>
            <w:vMerge w:val="continue"/>
            <w:tcBorders>
              <w:tl2br w:val="nil"/>
              <w:tr2bl w:val="nil"/>
            </w:tcBorders>
            <w:shd w:val="clear" w:color="auto" w:fill="auto"/>
            <w:tcMar>
              <w:top w:w="0" w:type="dxa"/>
              <w:left w:w="72" w:type="dxa"/>
              <w:bottom w:w="0" w:type="dxa"/>
              <w:right w:w="72" w:type="dxa"/>
            </w:tcMar>
            <w:vAlign w:val="center"/>
          </w:tcPr>
          <w:p>
            <w:pPr>
              <w:pStyle w:val="8"/>
              <w:widowControl/>
              <w:jc w:val="center"/>
            </w:pPr>
          </w:p>
        </w:tc>
        <w:tc>
          <w:tcPr>
            <w:tcW w:w="5606" w:type="dxa"/>
            <w:tcBorders>
              <w:tl2br w:val="nil"/>
              <w:tr2bl w:val="nil"/>
            </w:tcBorders>
            <w:shd w:val="clear" w:color="auto" w:fill="auto"/>
            <w:tcMar>
              <w:top w:w="0" w:type="dxa"/>
              <w:left w:w="72" w:type="dxa"/>
              <w:bottom w:w="0" w:type="dxa"/>
              <w:right w:w="72"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采集性能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15"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1</w:t>
            </w:r>
          </w:p>
        </w:tc>
        <w:tc>
          <w:tcPr>
            <w:tcW w:w="2770" w:type="dxa"/>
            <w:vMerge w:val="restart"/>
            <w:tcBorders>
              <w:tl2br w:val="nil"/>
              <w:tr2bl w:val="nil"/>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数据治理</w:t>
            </w:r>
          </w:p>
          <w:p>
            <w:pPr>
              <w:pStyle w:val="8"/>
              <w:widowControl/>
              <w:jc w:val="center"/>
              <w:rPr>
                <w:rFonts w:hint="default" w:eastAsiaTheme="minorEastAsia"/>
                <w:lang w:val="en-US" w:eastAsia="zh-CN"/>
              </w:rPr>
            </w:pPr>
            <w:r>
              <w:rPr>
                <w:rFonts w:hint="eastAsia" w:ascii="宋体" w:hAnsi="宋体" w:eastAsia="宋体" w:cs="宋体"/>
                <w:color w:val="000000"/>
                <w:kern w:val="0"/>
                <w:sz w:val="20"/>
                <w:szCs w:val="20"/>
                <w:lang w:val="en-US" w:eastAsia="zh-CN" w:bidi="ar"/>
              </w:rPr>
              <w:t>管理</w:t>
            </w:r>
          </w:p>
        </w:tc>
        <w:tc>
          <w:tcPr>
            <w:tcW w:w="5606" w:type="dxa"/>
            <w:tcBorders>
              <w:tl2br w:val="nil"/>
              <w:tr2bl w:val="nil"/>
            </w:tcBorders>
            <w:shd w:val="clear" w:color="auto" w:fill="auto"/>
            <w:tcMar>
              <w:top w:w="0" w:type="dxa"/>
              <w:left w:w="72" w:type="dxa"/>
              <w:bottom w:w="0" w:type="dxa"/>
              <w:right w:w="72" w:type="dxa"/>
            </w:tcMar>
            <w:vAlign w:val="center"/>
          </w:tcPr>
          <w:p>
            <w:pPr>
              <w:widowControl/>
              <w:jc w:val="left"/>
              <w:textAlignment w:val="center"/>
              <w:rPr>
                <w:rFonts w:hint="default" w:eastAsiaTheme="minorEastAsia"/>
                <w:sz w:val="20"/>
                <w:szCs w:val="20"/>
                <w:lang w:val="en-US" w:eastAsia="zh-CN"/>
              </w:rPr>
            </w:pPr>
            <w:r>
              <w:rPr>
                <w:rFonts w:hint="eastAsia"/>
                <w:sz w:val="20"/>
                <w:szCs w:val="20"/>
                <w:lang w:val="en-US" w:eastAsia="zh-CN"/>
              </w:rPr>
              <w:t>数据标准建设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12</w:t>
            </w:r>
          </w:p>
        </w:tc>
        <w:tc>
          <w:tcPr>
            <w:tcW w:w="2770" w:type="dxa"/>
            <w:vMerge w:val="continue"/>
            <w:tcBorders>
              <w:tl2br w:val="nil"/>
              <w:tr2bl w:val="nil"/>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kern w:val="0"/>
                <w:sz w:val="20"/>
                <w:szCs w:val="20"/>
                <w:lang w:val="en-US" w:eastAsia="zh-CN" w:bidi="ar"/>
              </w:rPr>
            </w:pPr>
          </w:p>
        </w:tc>
        <w:tc>
          <w:tcPr>
            <w:tcW w:w="5606" w:type="dxa"/>
            <w:tcBorders>
              <w:tl2br w:val="nil"/>
              <w:tr2bl w:val="nil"/>
            </w:tcBorders>
            <w:shd w:val="clear" w:color="auto" w:fill="auto"/>
            <w:tcMar>
              <w:top w:w="0" w:type="dxa"/>
              <w:left w:w="72" w:type="dxa"/>
              <w:bottom w:w="0" w:type="dxa"/>
              <w:right w:w="72" w:type="dxa"/>
            </w:tcMar>
            <w:vAlign w:val="center"/>
          </w:tcPr>
          <w:p>
            <w:pPr>
              <w:widowControl/>
              <w:jc w:val="left"/>
              <w:textAlignment w:val="center"/>
              <w:rPr>
                <w:rFonts w:hint="default"/>
                <w:sz w:val="20"/>
                <w:szCs w:val="20"/>
                <w:lang w:val="en-US" w:eastAsia="zh-CN"/>
              </w:rPr>
            </w:pPr>
            <w:r>
              <w:rPr>
                <w:rFonts w:hint="eastAsia"/>
                <w:sz w:val="20"/>
                <w:szCs w:val="20"/>
                <w:lang w:val="en-US" w:eastAsia="zh-CN"/>
              </w:rPr>
              <w:t>数据湖建设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3</w:t>
            </w:r>
          </w:p>
        </w:tc>
        <w:tc>
          <w:tcPr>
            <w:tcW w:w="2770" w:type="dxa"/>
            <w:vMerge w:val="continue"/>
            <w:tcBorders>
              <w:tl2br w:val="nil"/>
              <w:tr2bl w:val="nil"/>
            </w:tcBorders>
            <w:shd w:val="clear" w:color="auto" w:fill="auto"/>
            <w:tcMar>
              <w:top w:w="0" w:type="dxa"/>
              <w:left w:w="72" w:type="dxa"/>
              <w:bottom w:w="0" w:type="dxa"/>
              <w:right w:w="72" w:type="dxa"/>
            </w:tcMar>
            <w:vAlign w:val="center"/>
          </w:tcPr>
          <w:p>
            <w:pPr>
              <w:pStyle w:val="8"/>
              <w:widowControl/>
              <w:jc w:val="center"/>
            </w:pPr>
          </w:p>
        </w:tc>
        <w:tc>
          <w:tcPr>
            <w:tcW w:w="5606" w:type="dxa"/>
            <w:tcBorders>
              <w:tl2br w:val="nil"/>
              <w:tr2bl w:val="nil"/>
            </w:tcBorders>
            <w:shd w:val="clear" w:color="auto" w:fill="auto"/>
            <w:tcMar>
              <w:top w:w="0" w:type="dxa"/>
              <w:left w:w="72" w:type="dxa"/>
              <w:bottom w:w="0" w:type="dxa"/>
              <w:right w:w="72" w:type="dxa"/>
            </w:tcMar>
            <w:vAlign w:val="center"/>
          </w:tcPr>
          <w:p>
            <w:pPr>
              <w:widowControl/>
              <w:jc w:val="left"/>
              <w:textAlignment w:val="center"/>
              <w:rPr>
                <w:rFonts w:hint="default" w:eastAsiaTheme="minorEastAsia"/>
                <w:sz w:val="20"/>
                <w:szCs w:val="20"/>
                <w:lang w:val="en-US" w:eastAsia="zh-CN"/>
              </w:rPr>
            </w:pPr>
            <w:r>
              <w:rPr>
                <w:rFonts w:hint="eastAsia"/>
                <w:sz w:val="20"/>
                <w:szCs w:val="20"/>
                <w:lang w:val="en-US" w:eastAsia="zh-CN"/>
              </w:rPr>
              <w:t>数据仓库建设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14</w:t>
            </w:r>
          </w:p>
        </w:tc>
        <w:tc>
          <w:tcPr>
            <w:tcW w:w="2770" w:type="dxa"/>
            <w:vMerge w:val="continue"/>
            <w:tcBorders>
              <w:tl2br w:val="nil"/>
              <w:tr2bl w:val="nil"/>
            </w:tcBorders>
            <w:shd w:val="clear" w:color="auto" w:fill="auto"/>
            <w:tcMar>
              <w:top w:w="0" w:type="dxa"/>
              <w:left w:w="72" w:type="dxa"/>
              <w:bottom w:w="0" w:type="dxa"/>
              <w:right w:w="72" w:type="dxa"/>
            </w:tcMar>
            <w:vAlign w:val="center"/>
          </w:tcPr>
          <w:p>
            <w:pPr>
              <w:pStyle w:val="8"/>
              <w:widowControl/>
              <w:jc w:val="center"/>
            </w:pPr>
          </w:p>
        </w:tc>
        <w:tc>
          <w:tcPr>
            <w:tcW w:w="5606" w:type="dxa"/>
            <w:tcBorders>
              <w:tl2br w:val="nil"/>
              <w:tr2bl w:val="nil"/>
            </w:tcBorders>
            <w:shd w:val="clear" w:color="auto" w:fill="auto"/>
            <w:tcMar>
              <w:top w:w="0" w:type="dxa"/>
              <w:left w:w="72" w:type="dxa"/>
              <w:bottom w:w="0" w:type="dxa"/>
              <w:right w:w="72" w:type="dxa"/>
            </w:tcMar>
            <w:vAlign w:val="center"/>
          </w:tcPr>
          <w:p>
            <w:pPr>
              <w:widowControl/>
              <w:jc w:val="left"/>
              <w:textAlignment w:val="center"/>
              <w:rPr>
                <w:rFonts w:hint="default"/>
                <w:sz w:val="20"/>
                <w:szCs w:val="20"/>
                <w:lang w:val="en-US" w:eastAsia="zh-CN"/>
              </w:rPr>
            </w:pPr>
            <w:r>
              <w:rPr>
                <w:rFonts w:hint="eastAsia"/>
                <w:sz w:val="20"/>
                <w:szCs w:val="20"/>
                <w:lang w:val="en-US" w:eastAsia="zh-CN"/>
              </w:rPr>
              <w:t>数据开发管理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15</w:t>
            </w:r>
          </w:p>
        </w:tc>
        <w:tc>
          <w:tcPr>
            <w:tcW w:w="2770" w:type="dxa"/>
            <w:vMerge w:val="continue"/>
            <w:tcBorders>
              <w:tl2br w:val="nil"/>
              <w:tr2bl w:val="nil"/>
            </w:tcBorders>
            <w:shd w:val="clear" w:color="auto" w:fill="auto"/>
            <w:tcMar>
              <w:top w:w="0" w:type="dxa"/>
              <w:left w:w="72" w:type="dxa"/>
              <w:bottom w:w="0" w:type="dxa"/>
              <w:right w:w="72" w:type="dxa"/>
            </w:tcMar>
            <w:vAlign w:val="center"/>
          </w:tcPr>
          <w:p>
            <w:pPr>
              <w:pStyle w:val="8"/>
              <w:widowControl/>
              <w:jc w:val="center"/>
            </w:pPr>
          </w:p>
        </w:tc>
        <w:tc>
          <w:tcPr>
            <w:tcW w:w="5606" w:type="dxa"/>
            <w:tcBorders>
              <w:tl2br w:val="nil"/>
              <w:tr2bl w:val="nil"/>
            </w:tcBorders>
            <w:shd w:val="clear" w:color="auto" w:fill="auto"/>
            <w:tcMar>
              <w:top w:w="0" w:type="dxa"/>
              <w:left w:w="72" w:type="dxa"/>
              <w:bottom w:w="0" w:type="dxa"/>
              <w:right w:w="72" w:type="dxa"/>
            </w:tcMar>
            <w:vAlign w:val="center"/>
          </w:tcPr>
          <w:p>
            <w:pPr>
              <w:widowControl/>
              <w:jc w:val="left"/>
              <w:textAlignment w:val="center"/>
              <w:rPr>
                <w:rFonts w:hint="default"/>
                <w:sz w:val="20"/>
                <w:szCs w:val="20"/>
                <w:lang w:val="en-US" w:eastAsia="zh-CN"/>
              </w:rPr>
            </w:pPr>
            <w:r>
              <w:rPr>
                <w:rFonts w:hint="eastAsia"/>
                <w:sz w:val="20"/>
                <w:szCs w:val="20"/>
                <w:lang w:val="en-US" w:eastAsia="zh-CN"/>
              </w:rPr>
              <w:t>数据资产管理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16</w:t>
            </w:r>
          </w:p>
        </w:tc>
        <w:tc>
          <w:tcPr>
            <w:tcW w:w="2770" w:type="dxa"/>
            <w:vMerge w:val="continue"/>
            <w:tcBorders>
              <w:tl2br w:val="nil"/>
              <w:tr2bl w:val="nil"/>
            </w:tcBorders>
            <w:shd w:val="clear" w:color="auto" w:fill="auto"/>
            <w:tcMar>
              <w:top w:w="0" w:type="dxa"/>
              <w:left w:w="72" w:type="dxa"/>
              <w:bottom w:w="0" w:type="dxa"/>
              <w:right w:w="72" w:type="dxa"/>
            </w:tcMar>
            <w:vAlign w:val="center"/>
          </w:tcPr>
          <w:p>
            <w:pPr>
              <w:pStyle w:val="8"/>
              <w:widowControl/>
              <w:jc w:val="center"/>
              <w:rPr>
                <w:rFonts w:ascii="宋体" w:hAnsi="宋体" w:eastAsia="宋体" w:cs="宋体"/>
                <w:color w:val="000000"/>
                <w:sz w:val="21"/>
                <w:szCs w:val="21"/>
              </w:rPr>
            </w:pPr>
          </w:p>
        </w:tc>
        <w:tc>
          <w:tcPr>
            <w:tcW w:w="5606" w:type="dxa"/>
            <w:tcBorders>
              <w:tl2br w:val="nil"/>
              <w:tr2bl w:val="nil"/>
            </w:tcBorders>
            <w:shd w:val="clear" w:color="auto" w:fill="auto"/>
            <w:tcMar>
              <w:top w:w="0" w:type="dxa"/>
              <w:left w:w="72" w:type="dxa"/>
              <w:bottom w:w="0" w:type="dxa"/>
              <w:right w:w="72" w:type="dxa"/>
            </w:tcMar>
            <w:vAlign w:val="center"/>
          </w:tcPr>
          <w:p>
            <w:pPr>
              <w:keepNext w:val="0"/>
              <w:keepLines w:val="0"/>
              <w:widowControl/>
              <w:suppressLineNumbers w:val="0"/>
              <w:jc w:val="left"/>
              <w:rPr>
                <w:rFonts w:hint="default" w:ascii="宋体" w:hAnsi="宋体" w:eastAsia="宋体" w:cs="宋体"/>
                <w:color w:val="000000"/>
                <w:kern w:val="0"/>
                <w:sz w:val="20"/>
                <w:szCs w:val="20"/>
                <w:lang w:val="en-US" w:eastAsia="zh-CN" w:bidi="ar"/>
              </w:rPr>
            </w:pPr>
            <w:r>
              <w:rPr>
                <w:rFonts w:hint="eastAsia" w:ascii="HYShuSongErKW" w:hAnsi="HYShuSongErKW" w:eastAsia="HYShuSongErKW" w:cs="HYShuSongErKW"/>
                <w:color w:val="000000"/>
                <w:kern w:val="0"/>
                <w:sz w:val="20"/>
                <w:szCs w:val="20"/>
                <w:lang w:val="en-US" w:eastAsia="zh-CN" w:bidi="ar"/>
              </w:rPr>
              <w:t>数据指标管理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17</w:t>
            </w:r>
          </w:p>
        </w:tc>
        <w:tc>
          <w:tcPr>
            <w:tcW w:w="2770" w:type="dxa"/>
            <w:vMerge w:val="continue"/>
            <w:tcBorders>
              <w:tl2br w:val="nil"/>
              <w:tr2bl w:val="nil"/>
            </w:tcBorders>
            <w:shd w:val="clear" w:color="auto" w:fill="auto"/>
            <w:tcMar>
              <w:top w:w="0" w:type="dxa"/>
              <w:left w:w="72" w:type="dxa"/>
              <w:bottom w:w="0" w:type="dxa"/>
              <w:right w:w="72" w:type="dxa"/>
            </w:tcMar>
            <w:vAlign w:val="center"/>
          </w:tcPr>
          <w:p>
            <w:pPr>
              <w:pStyle w:val="8"/>
              <w:widowControl/>
              <w:jc w:val="center"/>
              <w:rPr>
                <w:rFonts w:ascii="宋体" w:hAnsi="宋体" w:eastAsia="宋体" w:cs="宋体"/>
                <w:color w:val="000000"/>
                <w:sz w:val="21"/>
                <w:szCs w:val="21"/>
              </w:rPr>
            </w:pPr>
          </w:p>
        </w:tc>
        <w:tc>
          <w:tcPr>
            <w:tcW w:w="5606" w:type="dxa"/>
            <w:tcBorders>
              <w:tl2br w:val="nil"/>
              <w:tr2bl w:val="nil"/>
            </w:tcBorders>
            <w:shd w:val="clear" w:color="auto" w:fill="auto"/>
            <w:tcMar>
              <w:top w:w="0" w:type="dxa"/>
              <w:left w:w="72" w:type="dxa"/>
              <w:bottom w:w="0" w:type="dxa"/>
              <w:right w:w="72" w:type="dxa"/>
            </w:tcMar>
            <w:vAlign w:val="center"/>
          </w:tcPr>
          <w:p>
            <w:pPr>
              <w:keepNext w:val="0"/>
              <w:keepLines w:val="0"/>
              <w:widowControl/>
              <w:suppressLineNumbers w:val="0"/>
              <w:jc w:val="left"/>
              <w:rPr>
                <w:rFonts w:hint="default" w:ascii="HYShuSongErKW" w:hAnsi="HYShuSongErKW" w:eastAsia="HYShuSongErKW" w:cs="HYShuSongErKW"/>
                <w:color w:val="000000"/>
                <w:kern w:val="0"/>
                <w:sz w:val="20"/>
                <w:szCs w:val="20"/>
                <w:lang w:val="en-US" w:eastAsia="zh-CN" w:bidi="ar"/>
              </w:rPr>
            </w:pPr>
            <w:r>
              <w:rPr>
                <w:rFonts w:hint="eastAsia" w:ascii="HYShuSongErKW" w:hAnsi="HYShuSongErKW" w:eastAsia="HYShuSongErKW" w:cs="HYShuSongErKW"/>
                <w:color w:val="000000"/>
                <w:kern w:val="0"/>
                <w:sz w:val="20"/>
                <w:szCs w:val="20"/>
                <w:lang w:val="en-US" w:eastAsia="zh-CN" w:bidi="ar"/>
              </w:rPr>
              <w:t>数据服务管理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18</w:t>
            </w:r>
          </w:p>
        </w:tc>
        <w:tc>
          <w:tcPr>
            <w:tcW w:w="2770" w:type="dxa"/>
            <w:vMerge w:val="continue"/>
            <w:tcBorders>
              <w:tl2br w:val="nil"/>
              <w:tr2bl w:val="nil"/>
            </w:tcBorders>
            <w:shd w:val="clear" w:color="auto" w:fill="auto"/>
            <w:tcMar>
              <w:top w:w="0" w:type="dxa"/>
              <w:left w:w="72" w:type="dxa"/>
              <w:bottom w:w="0" w:type="dxa"/>
              <w:right w:w="72" w:type="dxa"/>
            </w:tcMar>
            <w:vAlign w:val="center"/>
          </w:tcPr>
          <w:p>
            <w:pPr>
              <w:pStyle w:val="8"/>
              <w:widowControl/>
              <w:jc w:val="center"/>
              <w:rPr>
                <w:rFonts w:ascii="宋体" w:hAnsi="宋体" w:eastAsia="宋体" w:cs="宋体"/>
                <w:color w:val="000000"/>
                <w:sz w:val="21"/>
                <w:szCs w:val="21"/>
              </w:rPr>
            </w:pPr>
          </w:p>
        </w:tc>
        <w:tc>
          <w:tcPr>
            <w:tcW w:w="5606" w:type="dxa"/>
            <w:tcBorders>
              <w:tl2br w:val="nil"/>
              <w:tr2bl w:val="nil"/>
            </w:tcBorders>
            <w:shd w:val="clear" w:color="auto" w:fill="auto"/>
            <w:tcMar>
              <w:top w:w="0" w:type="dxa"/>
              <w:left w:w="72" w:type="dxa"/>
              <w:bottom w:w="0" w:type="dxa"/>
              <w:right w:w="72" w:type="dxa"/>
            </w:tcMar>
            <w:vAlign w:val="center"/>
          </w:tcPr>
          <w:p>
            <w:pPr>
              <w:keepNext w:val="0"/>
              <w:keepLines w:val="0"/>
              <w:widowControl/>
              <w:suppressLineNumbers w:val="0"/>
              <w:jc w:val="left"/>
              <w:rPr>
                <w:rFonts w:hint="default" w:ascii="HYShuSongErKW" w:hAnsi="HYShuSongErKW" w:eastAsia="HYShuSongErKW" w:cs="HYShuSongErKW"/>
                <w:color w:val="000000"/>
                <w:kern w:val="0"/>
                <w:sz w:val="20"/>
                <w:szCs w:val="20"/>
                <w:lang w:val="en-US" w:eastAsia="zh-CN" w:bidi="ar"/>
              </w:rPr>
            </w:pPr>
            <w:r>
              <w:rPr>
                <w:rFonts w:hint="eastAsia" w:ascii="HYShuSongErKW" w:hAnsi="HYShuSongErKW" w:eastAsia="HYShuSongErKW" w:cs="HYShuSongErKW"/>
                <w:color w:val="000000"/>
                <w:kern w:val="0"/>
                <w:sz w:val="20"/>
                <w:szCs w:val="20"/>
                <w:lang w:val="en-US" w:eastAsia="zh-CN" w:bidi="ar"/>
              </w:rPr>
              <w:t>数据质量管理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19</w:t>
            </w:r>
          </w:p>
        </w:tc>
        <w:tc>
          <w:tcPr>
            <w:tcW w:w="2770" w:type="dxa"/>
            <w:vMerge w:val="continue"/>
            <w:tcBorders>
              <w:tl2br w:val="nil"/>
              <w:tr2bl w:val="nil"/>
            </w:tcBorders>
            <w:shd w:val="clear" w:color="auto" w:fill="auto"/>
            <w:tcMar>
              <w:top w:w="0" w:type="dxa"/>
              <w:left w:w="72" w:type="dxa"/>
              <w:bottom w:w="0" w:type="dxa"/>
              <w:right w:w="72" w:type="dxa"/>
            </w:tcMar>
            <w:vAlign w:val="center"/>
          </w:tcPr>
          <w:p>
            <w:pPr>
              <w:pStyle w:val="8"/>
              <w:widowControl/>
              <w:jc w:val="center"/>
              <w:rPr>
                <w:rFonts w:ascii="宋体" w:hAnsi="宋体" w:eastAsia="宋体" w:cs="宋体"/>
                <w:color w:val="000000"/>
                <w:sz w:val="21"/>
                <w:szCs w:val="21"/>
              </w:rPr>
            </w:pPr>
          </w:p>
        </w:tc>
        <w:tc>
          <w:tcPr>
            <w:tcW w:w="5606" w:type="dxa"/>
            <w:tcBorders>
              <w:tl2br w:val="nil"/>
              <w:tr2bl w:val="nil"/>
            </w:tcBorders>
            <w:shd w:val="clear" w:color="auto" w:fill="auto"/>
            <w:tcMar>
              <w:top w:w="0" w:type="dxa"/>
              <w:left w:w="72" w:type="dxa"/>
              <w:bottom w:w="0" w:type="dxa"/>
              <w:right w:w="72"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中台一体化监控能力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default" w:eastAsiaTheme="minorEastAsia"/>
                <w:lang w:val="en-US" w:eastAsia="zh-CN"/>
              </w:rPr>
            </w:pPr>
            <w:r>
              <w:rPr>
                <w:rFonts w:hint="eastAsia" w:ascii="宋体" w:hAnsi="宋体" w:eastAsia="宋体" w:cs="宋体"/>
                <w:color w:val="000000"/>
                <w:sz w:val="21"/>
                <w:szCs w:val="21"/>
                <w:lang w:val="en-US" w:eastAsia="zh-CN"/>
              </w:rPr>
              <w:t>20</w:t>
            </w:r>
          </w:p>
        </w:tc>
        <w:tc>
          <w:tcPr>
            <w:tcW w:w="2770" w:type="dxa"/>
            <w:vMerge w:val="restart"/>
            <w:tcBorders>
              <w:tl2br w:val="nil"/>
              <w:tr2bl w:val="nil"/>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数据安全</w:t>
            </w:r>
          </w:p>
          <w:p>
            <w:pPr>
              <w:pStyle w:val="8"/>
              <w:widowControl/>
              <w:jc w:val="center"/>
            </w:pPr>
            <w:r>
              <w:rPr>
                <w:rFonts w:hint="eastAsia" w:ascii="宋体" w:hAnsi="宋体" w:eastAsia="宋体" w:cs="宋体"/>
                <w:color w:val="000000"/>
                <w:kern w:val="0"/>
                <w:sz w:val="20"/>
                <w:szCs w:val="20"/>
                <w:lang w:bidi="ar"/>
              </w:rPr>
              <w:t>管理</w:t>
            </w:r>
          </w:p>
        </w:tc>
        <w:tc>
          <w:tcPr>
            <w:tcW w:w="5606" w:type="dxa"/>
            <w:tcBorders>
              <w:tl2br w:val="nil"/>
              <w:tr2bl w:val="nil"/>
            </w:tcBorders>
            <w:shd w:val="clear" w:color="auto" w:fill="auto"/>
            <w:tcMar>
              <w:top w:w="0" w:type="dxa"/>
              <w:left w:w="72" w:type="dxa"/>
              <w:bottom w:w="0" w:type="dxa"/>
              <w:right w:w="72" w:type="dxa"/>
            </w:tcMar>
            <w:vAlign w:val="center"/>
          </w:tcPr>
          <w:p>
            <w:pPr>
              <w:widowControl/>
              <w:jc w:val="left"/>
              <w:textAlignment w:val="center"/>
              <w:rPr>
                <w:rFonts w:hint="default" w:eastAsiaTheme="minorEastAsia"/>
                <w:lang w:val="en-US" w:eastAsia="zh-CN"/>
              </w:rPr>
            </w:pPr>
            <w:r>
              <w:rPr>
                <w:rFonts w:hint="eastAsia" w:ascii="宋体" w:hAnsi="宋体" w:eastAsia="宋体" w:cs="宋体"/>
                <w:color w:val="000000"/>
                <w:kern w:val="0"/>
                <w:sz w:val="20"/>
                <w:szCs w:val="20"/>
                <w:lang w:val="en-US" w:eastAsia="zh-CN" w:bidi="ar"/>
              </w:rPr>
              <w:t>数据集成安全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w:t>
            </w:r>
          </w:p>
        </w:tc>
        <w:tc>
          <w:tcPr>
            <w:tcW w:w="2770" w:type="dxa"/>
            <w:vMerge w:val="continue"/>
            <w:tcBorders>
              <w:tl2br w:val="nil"/>
              <w:tr2bl w:val="nil"/>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kern w:val="0"/>
                <w:sz w:val="20"/>
                <w:szCs w:val="20"/>
                <w:lang w:bidi="ar"/>
              </w:rPr>
            </w:pPr>
          </w:p>
        </w:tc>
        <w:tc>
          <w:tcPr>
            <w:tcW w:w="5606" w:type="dxa"/>
            <w:tcBorders>
              <w:tl2br w:val="nil"/>
              <w:tr2bl w:val="nil"/>
            </w:tcBorders>
            <w:shd w:val="clear" w:color="auto" w:fill="auto"/>
            <w:tcMar>
              <w:top w:w="0" w:type="dxa"/>
              <w:left w:w="72" w:type="dxa"/>
              <w:bottom w:w="0" w:type="dxa"/>
              <w:right w:w="72"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数据传输安全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22</w:t>
            </w:r>
          </w:p>
        </w:tc>
        <w:tc>
          <w:tcPr>
            <w:tcW w:w="2770" w:type="dxa"/>
            <w:vMerge w:val="continue"/>
            <w:tcBorders>
              <w:tl2br w:val="nil"/>
              <w:tr2bl w:val="nil"/>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kern w:val="0"/>
                <w:sz w:val="20"/>
                <w:szCs w:val="20"/>
                <w:lang w:bidi="ar"/>
              </w:rPr>
            </w:pPr>
          </w:p>
        </w:tc>
        <w:tc>
          <w:tcPr>
            <w:tcW w:w="5606" w:type="dxa"/>
            <w:tcBorders>
              <w:tl2br w:val="nil"/>
              <w:tr2bl w:val="nil"/>
            </w:tcBorders>
            <w:shd w:val="clear" w:color="auto" w:fill="auto"/>
            <w:tcMar>
              <w:top w:w="0" w:type="dxa"/>
              <w:left w:w="72" w:type="dxa"/>
              <w:bottom w:w="0" w:type="dxa"/>
              <w:right w:w="72"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数据存储安全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default" w:eastAsiaTheme="minorEastAsia"/>
                <w:lang w:val="en-US" w:eastAsia="zh-CN"/>
              </w:rPr>
            </w:pPr>
            <w:r>
              <w:rPr>
                <w:rFonts w:hint="eastAsia" w:ascii="宋体" w:hAnsi="宋体" w:eastAsia="宋体" w:cs="宋体"/>
                <w:color w:val="000000"/>
                <w:sz w:val="21"/>
                <w:szCs w:val="21"/>
                <w:lang w:val="en-US" w:eastAsia="zh-CN"/>
              </w:rPr>
              <w:t>23</w:t>
            </w:r>
          </w:p>
        </w:tc>
        <w:tc>
          <w:tcPr>
            <w:tcW w:w="2770" w:type="dxa"/>
            <w:vMerge w:val="continue"/>
            <w:tcBorders>
              <w:tl2br w:val="nil"/>
              <w:tr2bl w:val="nil"/>
            </w:tcBorders>
            <w:shd w:val="clear" w:color="auto" w:fill="auto"/>
            <w:tcMar>
              <w:top w:w="0" w:type="dxa"/>
              <w:left w:w="72" w:type="dxa"/>
              <w:bottom w:w="0" w:type="dxa"/>
              <w:right w:w="72" w:type="dxa"/>
            </w:tcMar>
            <w:vAlign w:val="center"/>
          </w:tcPr>
          <w:p>
            <w:pPr>
              <w:pStyle w:val="8"/>
              <w:widowControl/>
            </w:pPr>
          </w:p>
        </w:tc>
        <w:tc>
          <w:tcPr>
            <w:tcW w:w="5606" w:type="dxa"/>
            <w:tcBorders>
              <w:tl2br w:val="nil"/>
              <w:tr2bl w:val="nil"/>
            </w:tcBorders>
            <w:shd w:val="clear" w:color="auto" w:fill="auto"/>
            <w:tcMar>
              <w:top w:w="0" w:type="dxa"/>
              <w:left w:w="72" w:type="dxa"/>
              <w:bottom w:w="0" w:type="dxa"/>
              <w:right w:w="72" w:type="dxa"/>
            </w:tcMar>
            <w:vAlign w:val="center"/>
          </w:tcPr>
          <w:p>
            <w:pPr>
              <w:widowControl/>
              <w:jc w:val="left"/>
              <w:textAlignment w:val="center"/>
              <w:rPr>
                <w:rFonts w:hint="default" w:eastAsiaTheme="minorEastAsia"/>
                <w:lang w:val="en-US" w:eastAsia="zh-CN"/>
              </w:rPr>
            </w:pPr>
            <w:r>
              <w:rPr>
                <w:rFonts w:hint="eastAsia" w:ascii="宋体" w:hAnsi="宋体" w:eastAsia="宋体" w:cs="宋体"/>
                <w:color w:val="000000"/>
                <w:kern w:val="0"/>
                <w:sz w:val="20"/>
                <w:szCs w:val="20"/>
                <w:lang w:val="en-US" w:eastAsia="zh-CN" w:bidi="ar"/>
              </w:rPr>
              <w:t>数据流通安全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24</w:t>
            </w:r>
          </w:p>
        </w:tc>
        <w:tc>
          <w:tcPr>
            <w:tcW w:w="2770" w:type="dxa"/>
            <w:vMerge w:val="continue"/>
            <w:tcBorders>
              <w:tl2br w:val="nil"/>
              <w:tr2bl w:val="nil"/>
            </w:tcBorders>
            <w:shd w:val="clear" w:color="auto" w:fill="auto"/>
            <w:tcMar>
              <w:top w:w="0" w:type="dxa"/>
              <w:left w:w="72" w:type="dxa"/>
              <w:bottom w:w="0" w:type="dxa"/>
              <w:right w:w="72" w:type="dxa"/>
            </w:tcMar>
            <w:vAlign w:val="center"/>
          </w:tcPr>
          <w:p>
            <w:pPr>
              <w:pStyle w:val="8"/>
              <w:widowControl/>
            </w:pPr>
          </w:p>
        </w:tc>
        <w:tc>
          <w:tcPr>
            <w:tcW w:w="5606" w:type="dxa"/>
            <w:tcBorders>
              <w:tl2br w:val="nil"/>
              <w:tr2bl w:val="nil"/>
            </w:tcBorders>
            <w:shd w:val="clear" w:color="auto" w:fill="auto"/>
            <w:tcMar>
              <w:top w:w="0" w:type="dxa"/>
              <w:left w:w="72" w:type="dxa"/>
              <w:bottom w:w="0" w:type="dxa"/>
              <w:right w:w="72"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数据分级分类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25</w:t>
            </w:r>
          </w:p>
        </w:tc>
        <w:tc>
          <w:tcPr>
            <w:tcW w:w="2770" w:type="dxa"/>
            <w:vMerge w:val="restart"/>
            <w:tcBorders>
              <w:tl2br w:val="nil"/>
              <w:tr2bl w:val="nil"/>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集成引擎</w:t>
            </w:r>
          </w:p>
          <w:p>
            <w:pPr>
              <w:pStyle w:val="8"/>
              <w:widowControl/>
              <w:jc w:val="center"/>
              <w:rPr>
                <w:rFonts w:hint="default" w:eastAsiaTheme="minorEastAsia"/>
                <w:lang w:val="en-US" w:eastAsia="zh-CN"/>
              </w:rPr>
            </w:pPr>
            <w:r>
              <w:rPr>
                <w:rFonts w:hint="eastAsia" w:ascii="宋体" w:hAnsi="宋体" w:eastAsia="宋体" w:cs="宋体"/>
                <w:color w:val="000000"/>
                <w:kern w:val="0"/>
                <w:sz w:val="20"/>
                <w:szCs w:val="20"/>
                <w:lang w:val="en-US" w:eastAsia="zh-CN" w:bidi="ar"/>
              </w:rPr>
              <w:t>能力</w:t>
            </w:r>
          </w:p>
        </w:tc>
        <w:tc>
          <w:tcPr>
            <w:tcW w:w="5606" w:type="dxa"/>
            <w:tcBorders>
              <w:tl2br w:val="nil"/>
              <w:tr2bl w:val="nil"/>
            </w:tcBorders>
            <w:shd w:val="clear" w:color="auto" w:fill="auto"/>
            <w:tcMar>
              <w:top w:w="0" w:type="dxa"/>
              <w:left w:w="72" w:type="dxa"/>
              <w:bottom w:w="0" w:type="dxa"/>
              <w:right w:w="72"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商业化集成引擎</w:t>
            </w:r>
            <w:bookmarkStart w:id="0" w:name="_GoBack"/>
            <w:bookmarkEnd w:id="0"/>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26</w:t>
            </w:r>
          </w:p>
        </w:tc>
        <w:tc>
          <w:tcPr>
            <w:tcW w:w="2770" w:type="dxa"/>
            <w:vMerge w:val="continue"/>
            <w:tcBorders>
              <w:tl2br w:val="nil"/>
              <w:tr2bl w:val="nil"/>
            </w:tcBorders>
            <w:shd w:val="clear" w:color="auto" w:fill="auto"/>
            <w:tcMar>
              <w:top w:w="0" w:type="dxa"/>
              <w:left w:w="72" w:type="dxa"/>
              <w:bottom w:w="0" w:type="dxa"/>
              <w:right w:w="72" w:type="dxa"/>
            </w:tcMar>
            <w:vAlign w:val="center"/>
          </w:tcPr>
          <w:p>
            <w:pPr>
              <w:pStyle w:val="8"/>
              <w:widowControl/>
              <w:rPr>
                <w:rFonts w:hint="eastAsia"/>
                <w:lang w:val="en-US" w:eastAsia="zh-CN"/>
              </w:rPr>
            </w:pPr>
          </w:p>
        </w:tc>
        <w:tc>
          <w:tcPr>
            <w:tcW w:w="5606" w:type="dxa"/>
            <w:tcBorders>
              <w:tl2br w:val="nil"/>
              <w:tr2bl w:val="nil"/>
            </w:tcBorders>
            <w:shd w:val="clear" w:color="auto" w:fill="auto"/>
            <w:tcMar>
              <w:top w:w="0" w:type="dxa"/>
              <w:left w:w="72" w:type="dxa"/>
              <w:bottom w:w="0" w:type="dxa"/>
              <w:right w:w="72"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接口适配器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27</w:t>
            </w:r>
          </w:p>
        </w:tc>
        <w:tc>
          <w:tcPr>
            <w:tcW w:w="2770" w:type="dxa"/>
            <w:vMerge w:val="continue"/>
            <w:tcBorders>
              <w:tl2br w:val="nil"/>
              <w:tr2bl w:val="nil"/>
            </w:tcBorders>
            <w:shd w:val="clear" w:color="auto" w:fill="auto"/>
            <w:tcMar>
              <w:top w:w="0" w:type="dxa"/>
              <w:left w:w="72" w:type="dxa"/>
              <w:bottom w:w="0" w:type="dxa"/>
              <w:right w:w="72" w:type="dxa"/>
            </w:tcMar>
            <w:vAlign w:val="center"/>
          </w:tcPr>
          <w:p>
            <w:pPr>
              <w:pStyle w:val="8"/>
              <w:widowControl/>
              <w:rPr>
                <w:rFonts w:hint="eastAsia"/>
                <w:lang w:val="en-US" w:eastAsia="zh-CN"/>
              </w:rPr>
            </w:pPr>
          </w:p>
        </w:tc>
        <w:tc>
          <w:tcPr>
            <w:tcW w:w="5606" w:type="dxa"/>
            <w:tcBorders>
              <w:tl2br w:val="nil"/>
              <w:tr2bl w:val="nil"/>
            </w:tcBorders>
            <w:shd w:val="clear" w:color="auto" w:fill="auto"/>
            <w:tcMar>
              <w:top w:w="0" w:type="dxa"/>
              <w:left w:w="72" w:type="dxa"/>
              <w:bottom w:w="0" w:type="dxa"/>
              <w:right w:w="72"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服务配置与订阅管理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28</w:t>
            </w:r>
          </w:p>
        </w:tc>
        <w:tc>
          <w:tcPr>
            <w:tcW w:w="2770" w:type="dxa"/>
            <w:vMerge w:val="continue"/>
            <w:tcBorders>
              <w:tl2br w:val="nil"/>
              <w:tr2bl w:val="nil"/>
            </w:tcBorders>
            <w:shd w:val="clear" w:color="auto" w:fill="auto"/>
            <w:tcMar>
              <w:top w:w="0" w:type="dxa"/>
              <w:left w:w="72" w:type="dxa"/>
              <w:bottom w:w="0" w:type="dxa"/>
              <w:right w:w="72" w:type="dxa"/>
            </w:tcMar>
            <w:vAlign w:val="center"/>
          </w:tcPr>
          <w:p>
            <w:pPr>
              <w:pStyle w:val="8"/>
              <w:widowControl/>
              <w:rPr>
                <w:rFonts w:hint="eastAsia"/>
                <w:lang w:val="en-US" w:eastAsia="zh-CN"/>
              </w:rPr>
            </w:pPr>
          </w:p>
        </w:tc>
        <w:tc>
          <w:tcPr>
            <w:tcW w:w="5606" w:type="dxa"/>
            <w:tcBorders>
              <w:tl2br w:val="nil"/>
              <w:tr2bl w:val="nil"/>
            </w:tcBorders>
            <w:shd w:val="clear" w:color="auto" w:fill="auto"/>
            <w:tcMar>
              <w:top w:w="0" w:type="dxa"/>
              <w:left w:w="72" w:type="dxa"/>
              <w:bottom w:w="0" w:type="dxa"/>
              <w:right w:w="72"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数据完整性保护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270" w:hRule="atLeast"/>
        </w:trPr>
        <w:tc>
          <w:tcPr>
            <w:tcW w:w="602" w:type="dxa"/>
            <w:tcBorders>
              <w:tl2br w:val="nil"/>
              <w:tr2bl w:val="nil"/>
            </w:tcBorders>
            <w:shd w:val="clear" w:color="auto" w:fill="auto"/>
            <w:tcMar>
              <w:top w:w="0" w:type="dxa"/>
              <w:left w:w="72" w:type="dxa"/>
              <w:bottom w:w="0" w:type="dxa"/>
              <w:right w:w="72" w:type="dxa"/>
            </w:tcMar>
            <w:vAlign w:val="center"/>
          </w:tcPr>
          <w:p>
            <w:pPr>
              <w:pStyle w:val="8"/>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29</w:t>
            </w:r>
          </w:p>
        </w:tc>
        <w:tc>
          <w:tcPr>
            <w:tcW w:w="2770" w:type="dxa"/>
            <w:vMerge w:val="continue"/>
            <w:tcBorders>
              <w:tl2br w:val="nil"/>
              <w:tr2bl w:val="nil"/>
            </w:tcBorders>
            <w:shd w:val="clear" w:color="auto" w:fill="auto"/>
            <w:tcMar>
              <w:top w:w="0" w:type="dxa"/>
              <w:left w:w="72" w:type="dxa"/>
              <w:bottom w:w="0" w:type="dxa"/>
              <w:right w:w="72" w:type="dxa"/>
            </w:tcMar>
            <w:vAlign w:val="center"/>
          </w:tcPr>
          <w:p>
            <w:pPr>
              <w:pStyle w:val="8"/>
              <w:widowControl/>
              <w:rPr>
                <w:rFonts w:hint="eastAsia"/>
                <w:lang w:val="en-US" w:eastAsia="zh-CN"/>
              </w:rPr>
            </w:pPr>
          </w:p>
        </w:tc>
        <w:tc>
          <w:tcPr>
            <w:tcW w:w="5606" w:type="dxa"/>
            <w:tcBorders>
              <w:tl2br w:val="nil"/>
              <w:tr2bl w:val="nil"/>
            </w:tcBorders>
            <w:shd w:val="clear" w:color="auto" w:fill="auto"/>
            <w:tcMar>
              <w:top w:w="0" w:type="dxa"/>
              <w:left w:w="72" w:type="dxa"/>
              <w:bottom w:w="0" w:type="dxa"/>
              <w:right w:w="72"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服务运行状况监控管理</w:t>
            </w:r>
          </w:p>
        </w:tc>
      </w:tr>
    </w:tbl>
    <w:p>
      <w:pPr>
        <w:pStyle w:val="8"/>
        <w:widowControl/>
        <w:rPr>
          <w:rFonts w:ascii="宋体" w:hAnsi="宋体" w:eastAsia="宋体" w:cs="宋体"/>
          <w:color w:val="000000"/>
          <w:sz w:val="21"/>
          <w:szCs w:val="21"/>
        </w:rPr>
      </w:pPr>
    </w:p>
    <w:p>
      <w:pPr>
        <w:pStyle w:val="4"/>
        <w:spacing w:before="20" w:after="20" w:line="360" w:lineRule="auto"/>
        <w:rPr>
          <w:rFonts w:ascii="Times New Roman" w:hAnsi="Times New Roman"/>
          <w:sz w:val="24"/>
          <w:szCs w:val="21"/>
        </w:rPr>
      </w:pPr>
      <w:r>
        <w:rPr>
          <w:rFonts w:hint="eastAsia" w:ascii="Times New Roman" w:hAnsi="Times New Roman"/>
          <w:sz w:val="24"/>
          <w:szCs w:val="21"/>
          <w:lang w:val="en-US" w:eastAsia="zh-CN"/>
        </w:rPr>
        <w:t>3</w:t>
      </w:r>
      <w:r>
        <w:rPr>
          <w:rFonts w:hint="eastAsia" w:ascii="Times New Roman" w:hAnsi="Times New Roman"/>
          <w:sz w:val="24"/>
          <w:szCs w:val="21"/>
        </w:rPr>
        <w:t>.2.</w:t>
      </w:r>
      <w:r>
        <w:rPr>
          <w:rFonts w:hint="eastAsia" w:ascii="Times New Roman" w:hAnsi="Times New Roman"/>
          <w:sz w:val="24"/>
          <w:szCs w:val="21"/>
          <w:lang w:val="en-US" w:eastAsia="zh-CN"/>
        </w:rPr>
        <w:t>3平台</w:t>
      </w:r>
      <w:r>
        <w:rPr>
          <w:rFonts w:hint="eastAsia" w:ascii="Times New Roman" w:hAnsi="Times New Roman"/>
          <w:sz w:val="24"/>
          <w:szCs w:val="21"/>
        </w:rPr>
        <w:t>应用</w:t>
      </w:r>
    </w:p>
    <w:p>
      <w:pPr>
        <w:pStyle w:val="5"/>
        <w:spacing w:before="60" w:beforeAutospacing="0" w:after="60" w:afterAutospacing="0" w:line="360" w:lineRule="auto"/>
        <w:jc w:val="both"/>
        <w:rPr>
          <w:rFonts w:hint="default"/>
        </w:rPr>
      </w:pPr>
      <w:r>
        <w:rPr>
          <w:rFonts w:hint="eastAsia"/>
          <w:lang w:val="en-US" w:eastAsia="zh-CN"/>
        </w:rPr>
        <w:t>3</w:t>
      </w:r>
      <w:r>
        <w:t>.2.</w:t>
      </w:r>
      <w:r>
        <w:rPr>
          <w:rFonts w:hint="eastAsia"/>
          <w:lang w:val="en-US" w:eastAsia="zh-CN"/>
        </w:rPr>
        <w:t>3</w:t>
      </w:r>
      <w:r>
        <w:t>.1业务</w:t>
      </w:r>
      <w:r>
        <w:rPr>
          <w:rFonts w:hint="eastAsia"/>
          <w:lang w:val="en-US" w:eastAsia="zh-CN"/>
        </w:rPr>
        <w:t>协同应用</w:t>
      </w:r>
    </w:p>
    <w:tbl>
      <w:tblPr>
        <w:tblStyle w:val="9"/>
        <w:tblW w:w="9483" w:type="dxa"/>
        <w:tblInd w:w="0" w:type="dxa"/>
        <w:tblLayout w:type="fixed"/>
        <w:tblCellMar>
          <w:top w:w="15" w:type="dxa"/>
          <w:left w:w="15" w:type="dxa"/>
          <w:bottom w:w="15" w:type="dxa"/>
          <w:right w:w="15" w:type="dxa"/>
        </w:tblCellMar>
      </w:tblPr>
      <w:tblGrid>
        <w:gridCol w:w="602"/>
        <w:gridCol w:w="2267"/>
        <w:gridCol w:w="6614"/>
      </w:tblGrid>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tcPr>
          <w:p>
            <w:pPr>
              <w:pStyle w:val="8"/>
              <w:widowControl/>
              <w:jc w:val="center"/>
            </w:pPr>
            <w:r>
              <w:rPr>
                <w:rFonts w:hint="eastAsia" w:ascii="宋体" w:hAnsi="宋体" w:eastAsia="宋体" w:cs="宋体"/>
                <w:b/>
                <w:bCs/>
                <w:color w:val="000000"/>
                <w:sz w:val="21"/>
                <w:szCs w:val="21"/>
              </w:rPr>
              <w:t>序号</w:t>
            </w:r>
          </w:p>
        </w:tc>
        <w:tc>
          <w:tcPr>
            <w:tcW w:w="226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tcPr>
          <w:p>
            <w:pPr>
              <w:pStyle w:val="8"/>
              <w:widowControl/>
              <w:jc w:val="center"/>
              <w:rPr>
                <w:rFonts w:hint="default" w:eastAsiaTheme="minorEastAsia"/>
                <w:b/>
                <w:bCs/>
                <w:lang w:val="en-US" w:eastAsia="zh-CN"/>
              </w:rPr>
            </w:pPr>
            <w:r>
              <w:rPr>
                <w:rFonts w:hint="eastAsia" w:ascii="宋体" w:hAnsi="宋体" w:eastAsia="宋体" w:cs="宋体"/>
                <w:b/>
                <w:bCs/>
                <w:color w:val="000000"/>
                <w:sz w:val="21"/>
                <w:szCs w:val="21"/>
                <w:lang w:val="en-US" w:eastAsia="zh-CN"/>
              </w:rPr>
              <w:t>测评项</w:t>
            </w:r>
          </w:p>
        </w:tc>
        <w:tc>
          <w:tcPr>
            <w:tcW w:w="6614"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tcPr>
          <w:p>
            <w:pPr>
              <w:pStyle w:val="8"/>
              <w:widowControl/>
              <w:jc w:val="center"/>
              <w:rPr>
                <w:rFonts w:hint="default" w:eastAsiaTheme="minorEastAsia"/>
                <w:b/>
                <w:bCs/>
                <w:lang w:val="en-US" w:eastAsia="zh-CN"/>
              </w:rPr>
            </w:pPr>
            <w:r>
              <w:rPr>
                <w:rFonts w:hint="eastAsia"/>
                <w:b/>
                <w:bCs/>
                <w:lang w:val="en-US" w:eastAsia="zh-CN"/>
              </w:rPr>
              <w:t>需求描述</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sz w:val="20"/>
                <w:szCs w:val="20"/>
              </w:rPr>
            </w:pPr>
            <w:r>
              <w:rPr>
                <w:rFonts w:hint="eastAsia" w:ascii="宋体" w:hAnsi="宋体" w:eastAsia="宋体" w:cs="宋体"/>
                <w:color w:val="000000"/>
                <w:sz w:val="20"/>
                <w:szCs w:val="20"/>
              </w:rPr>
              <w:t>1</w:t>
            </w:r>
          </w:p>
        </w:tc>
        <w:tc>
          <w:tcPr>
            <w:tcW w:w="226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eastAsia" w:eastAsia="宋体"/>
                <w:sz w:val="20"/>
                <w:szCs w:val="20"/>
                <w:lang w:val="en-US" w:eastAsia="zh-CN"/>
              </w:rPr>
            </w:pPr>
            <w:r>
              <w:rPr>
                <w:rFonts w:hint="eastAsia" w:ascii="宋体" w:hAnsi="宋体" w:eastAsia="宋体" w:cs="宋体"/>
                <w:color w:val="000000"/>
                <w:kern w:val="0"/>
                <w:sz w:val="20"/>
                <w:szCs w:val="20"/>
                <w:lang w:bidi="ar"/>
              </w:rPr>
              <w:t>健康档案</w:t>
            </w:r>
            <w:r>
              <w:rPr>
                <w:rFonts w:hint="eastAsia" w:ascii="宋体" w:hAnsi="宋体" w:eastAsia="宋体" w:cs="宋体"/>
                <w:color w:val="000000"/>
                <w:kern w:val="0"/>
                <w:sz w:val="20"/>
                <w:szCs w:val="20"/>
                <w:lang w:val="en-US" w:eastAsia="zh-CN" w:bidi="ar"/>
              </w:rPr>
              <w:t>管理</w:t>
            </w:r>
          </w:p>
        </w:tc>
        <w:tc>
          <w:tcPr>
            <w:tcW w:w="6614"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1.健康档案基本内容要包括个人基本信息、儿童保健、妇幼保健、疾病控制、疾病管理、医疗服务六大块；</w:t>
            </w:r>
          </w:p>
          <w:p>
            <w:pPr>
              <w:widowControl/>
              <w:jc w:val="left"/>
              <w:textAlignment w:val="center"/>
              <w:rPr>
                <w:sz w:val="20"/>
                <w:szCs w:val="20"/>
              </w:rPr>
            </w:pPr>
            <w:r>
              <w:rPr>
                <w:rFonts w:hint="eastAsia" w:ascii="宋体" w:hAnsi="宋体" w:eastAsia="宋体" w:cs="宋体"/>
                <w:i w:val="0"/>
                <w:iCs w:val="0"/>
                <w:color w:val="000000"/>
                <w:kern w:val="0"/>
                <w:sz w:val="20"/>
                <w:szCs w:val="20"/>
                <w:u w:val="none"/>
                <w:lang w:val="en-US" w:eastAsia="zh-CN" w:bidi="ar"/>
              </w:rPr>
              <w:t>3.</w:t>
            </w:r>
            <w:r>
              <w:rPr>
                <w:rFonts w:hint="eastAsia" w:ascii="宋体" w:hAnsi="宋体" w:eastAsia="宋体" w:cs="宋体"/>
                <w:color w:val="000000"/>
                <w:kern w:val="0"/>
                <w:sz w:val="20"/>
                <w:szCs w:val="20"/>
                <w:lang w:val="en-US" w:eastAsia="zh-CN" w:bidi="ar"/>
              </w:rPr>
              <w:t>门诊住院医、公卫医生、居民等使用者可</w:t>
            </w:r>
            <w:r>
              <w:rPr>
                <w:rFonts w:hint="eastAsia" w:ascii="宋体" w:hAnsi="宋体" w:eastAsia="宋体" w:cs="宋体"/>
                <w:color w:val="000000"/>
                <w:kern w:val="0"/>
                <w:sz w:val="20"/>
                <w:szCs w:val="20"/>
                <w:lang w:bidi="ar"/>
              </w:rPr>
              <w:t xml:space="preserve">根据可以查询患者在区域内的全程健康档案信息。 </w:t>
            </w:r>
          </w:p>
        </w:tc>
      </w:tr>
      <w:tr>
        <w:tblPrEx>
          <w:tblCellMar>
            <w:top w:w="15" w:type="dxa"/>
            <w:left w:w="15" w:type="dxa"/>
            <w:bottom w:w="15" w:type="dxa"/>
            <w:right w:w="15" w:type="dxa"/>
          </w:tblCellMar>
        </w:tblPrEx>
        <w:trPr>
          <w:trHeight w:val="9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w:t>
            </w:r>
          </w:p>
        </w:tc>
        <w:tc>
          <w:tcPr>
            <w:tcW w:w="226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重复检查提醒</w:t>
            </w:r>
          </w:p>
        </w:tc>
        <w:tc>
          <w:tcPr>
            <w:tcW w:w="6614"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numPr>
                <w:ilvl w:val="0"/>
                <w:numId w:val="0"/>
              </w:numPr>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1、区集成平台提供重复检查提醒接口；</w:t>
            </w:r>
          </w:p>
          <w:p>
            <w:pPr>
              <w:widowControl/>
              <w:numPr>
                <w:ilvl w:val="0"/>
                <w:numId w:val="0"/>
              </w:numPr>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2、医院HIS/社康HIS开重复检查时有提醒功能。</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w:t>
            </w:r>
          </w:p>
        </w:tc>
        <w:tc>
          <w:tcPr>
            <w:tcW w:w="226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重复检验提醒</w:t>
            </w:r>
          </w:p>
        </w:tc>
        <w:tc>
          <w:tcPr>
            <w:tcW w:w="6614"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numPr>
                <w:ilvl w:val="0"/>
                <w:numId w:val="0"/>
              </w:numPr>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1、区集成平台提供重复检验提醒接口；</w:t>
            </w:r>
          </w:p>
          <w:p>
            <w:pPr>
              <w:widowControl/>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2、医院HIS/社康HIS开重复检验时有提醒功能。</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w:t>
            </w:r>
          </w:p>
        </w:tc>
        <w:tc>
          <w:tcPr>
            <w:tcW w:w="226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重复用药提醒</w:t>
            </w:r>
          </w:p>
        </w:tc>
        <w:tc>
          <w:tcPr>
            <w:tcW w:w="6614"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numPr>
                <w:ilvl w:val="0"/>
                <w:numId w:val="0"/>
              </w:numPr>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1、区集成平台提供重复用药提醒接口；</w:t>
            </w:r>
          </w:p>
          <w:p>
            <w:pPr>
              <w:widowControl/>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2、医院HIS/社康HIS开重复用药时有提醒功能。</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w:t>
            </w:r>
          </w:p>
        </w:tc>
        <w:tc>
          <w:tcPr>
            <w:tcW w:w="226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合理用药提醒</w:t>
            </w:r>
          </w:p>
        </w:tc>
        <w:tc>
          <w:tcPr>
            <w:tcW w:w="6614"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numPr>
                <w:ilvl w:val="0"/>
                <w:numId w:val="0"/>
              </w:numPr>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1、区集成平台/合理用药系统提供相关合理用药接口；</w:t>
            </w:r>
          </w:p>
          <w:p>
            <w:pPr>
              <w:widowControl/>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2、医院HIS/社康HIS在开药品时对超剂量、用法错误、配伍禁忌等药品进行提醒。</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w:t>
            </w:r>
          </w:p>
        </w:tc>
        <w:tc>
          <w:tcPr>
            <w:tcW w:w="226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远程诊断</w:t>
            </w:r>
          </w:p>
        </w:tc>
        <w:tc>
          <w:tcPr>
            <w:tcW w:w="6614"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1、区集成平台提供接口与全区影像系统对接，实时采集远程诊断的信息到区平台上进行统计分析。</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w:t>
            </w:r>
          </w:p>
        </w:tc>
        <w:tc>
          <w:tcPr>
            <w:tcW w:w="226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双向转诊</w:t>
            </w:r>
          </w:p>
        </w:tc>
        <w:tc>
          <w:tcPr>
            <w:tcW w:w="6614"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numPr>
                <w:ilvl w:val="0"/>
                <w:numId w:val="0"/>
              </w:numPr>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1、医院及社康HIS系统通过区集成平台调用双向转诊接口；</w:t>
            </w:r>
          </w:p>
          <w:p>
            <w:pPr>
              <w:widowControl/>
              <w:numPr>
                <w:ilvl w:val="0"/>
                <w:numId w:val="0"/>
              </w:numPr>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2、医院HIS和社康HIS能及时查看到上转或下转的信息。</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w:t>
            </w:r>
          </w:p>
        </w:tc>
        <w:tc>
          <w:tcPr>
            <w:tcW w:w="226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检验检查结果互认服务</w:t>
            </w:r>
          </w:p>
        </w:tc>
        <w:tc>
          <w:tcPr>
            <w:tcW w:w="6614"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numPr>
                <w:ilvl w:val="0"/>
                <w:numId w:val="0"/>
              </w:numPr>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1、区集成平台提供接口与医院HIS或社康HIS进行对接，实时采集与市级平台的检验检查结果互认情况并进行统计分析。</w:t>
            </w:r>
          </w:p>
        </w:tc>
      </w:tr>
    </w:tbl>
    <w:p>
      <w:pPr>
        <w:pStyle w:val="7"/>
        <w:rPr>
          <w:rFonts w:hint="eastAsia"/>
        </w:rPr>
      </w:pPr>
    </w:p>
    <w:p>
      <w:pPr>
        <w:pStyle w:val="5"/>
        <w:spacing w:before="60" w:beforeAutospacing="0" w:after="60" w:afterAutospacing="0" w:line="360" w:lineRule="auto"/>
        <w:jc w:val="both"/>
        <w:rPr>
          <w:rFonts w:hint="default"/>
        </w:rPr>
      </w:pPr>
      <w:r>
        <w:rPr>
          <w:rFonts w:hint="eastAsia"/>
          <w:lang w:val="en-US" w:eastAsia="zh-CN"/>
        </w:rPr>
        <w:t>3</w:t>
      </w:r>
      <w:r>
        <w:t>.2.</w:t>
      </w:r>
      <w:r>
        <w:rPr>
          <w:rFonts w:hint="eastAsia"/>
          <w:lang w:val="en-US" w:eastAsia="zh-CN"/>
        </w:rPr>
        <w:t>3</w:t>
      </w:r>
      <w:r>
        <w:t>.2数据分析</w:t>
      </w:r>
      <w:r>
        <w:rPr>
          <w:rFonts w:hint="eastAsia"/>
          <w:lang w:val="en-US" w:eastAsia="zh-CN"/>
        </w:rPr>
        <w:t>应用</w:t>
      </w:r>
    </w:p>
    <w:tbl>
      <w:tblPr>
        <w:tblStyle w:val="9"/>
        <w:tblW w:w="9496" w:type="dxa"/>
        <w:tblInd w:w="0" w:type="dxa"/>
        <w:tblLayout w:type="fixed"/>
        <w:tblCellMar>
          <w:top w:w="15" w:type="dxa"/>
          <w:left w:w="15" w:type="dxa"/>
          <w:bottom w:w="15" w:type="dxa"/>
          <w:right w:w="15" w:type="dxa"/>
        </w:tblCellMar>
      </w:tblPr>
      <w:tblGrid>
        <w:gridCol w:w="602"/>
        <w:gridCol w:w="2294"/>
        <w:gridCol w:w="6600"/>
      </w:tblGrid>
      <w:tr>
        <w:tblPrEx>
          <w:tblCellMar>
            <w:top w:w="15" w:type="dxa"/>
            <w:left w:w="15" w:type="dxa"/>
            <w:bottom w:w="15" w:type="dxa"/>
            <w:right w:w="15" w:type="dxa"/>
          </w:tblCellMar>
        </w:tblPrEx>
        <w:trPr>
          <w:trHeight w:val="316"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tcPr>
          <w:p>
            <w:pPr>
              <w:pStyle w:val="8"/>
              <w:widowControl/>
              <w:jc w:val="center"/>
            </w:pPr>
            <w:r>
              <w:rPr>
                <w:rFonts w:hint="eastAsia" w:ascii="宋体" w:hAnsi="宋体" w:eastAsia="宋体" w:cs="宋体"/>
                <w:b/>
                <w:bCs/>
                <w:color w:val="000000"/>
                <w:sz w:val="21"/>
                <w:szCs w:val="21"/>
              </w:rPr>
              <w:t>序号</w:t>
            </w:r>
          </w:p>
        </w:tc>
        <w:tc>
          <w:tcPr>
            <w:tcW w:w="2294"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tcPr>
          <w:p>
            <w:pPr>
              <w:pStyle w:val="8"/>
              <w:widowControl/>
              <w:jc w:val="center"/>
              <w:rPr>
                <w:rFonts w:hint="eastAsia" w:eastAsiaTheme="minorEastAsia"/>
                <w:b/>
                <w:bCs/>
                <w:lang w:eastAsia="zh-CN"/>
              </w:rPr>
            </w:pPr>
            <w:r>
              <w:rPr>
                <w:rFonts w:hint="eastAsia" w:ascii="宋体" w:hAnsi="宋体" w:eastAsia="宋体" w:cs="宋体"/>
                <w:b/>
                <w:bCs/>
                <w:color w:val="000000"/>
                <w:sz w:val="21"/>
                <w:szCs w:val="21"/>
                <w:lang w:val="en-US" w:eastAsia="zh-CN"/>
              </w:rPr>
              <w:t>测评项</w:t>
            </w:r>
          </w:p>
        </w:tc>
        <w:tc>
          <w:tcPr>
            <w:tcW w:w="6600"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tcPr>
          <w:p>
            <w:pPr>
              <w:pStyle w:val="8"/>
              <w:widowControl/>
              <w:jc w:val="center"/>
              <w:rPr>
                <w:rFonts w:hint="eastAsia" w:eastAsiaTheme="minorEastAsia"/>
                <w:b/>
                <w:bCs/>
                <w:lang w:eastAsia="zh-CN"/>
              </w:rPr>
            </w:pPr>
            <w:r>
              <w:rPr>
                <w:rFonts w:hint="eastAsia"/>
                <w:b/>
                <w:bCs/>
                <w:lang w:val="en-US" w:eastAsia="zh-CN"/>
              </w:rPr>
              <w:t>需求描述</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sz w:val="20"/>
                <w:szCs w:val="20"/>
              </w:rPr>
            </w:pPr>
            <w:r>
              <w:rPr>
                <w:rFonts w:hint="eastAsia" w:ascii="宋体" w:hAnsi="宋体" w:eastAsia="宋体" w:cs="宋体"/>
                <w:color w:val="000000"/>
                <w:sz w:val="20"/>
                <w:szCs w:val="20"/>
              </w:rPr>
              <w:t>1</w:t>
            </w:r>
          </w:p>
        </w:tc>
        <w:tc>
          <w:tcPr>
            <w:tcW w:w="2294"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default" w:eastAsiaTheme="minorEastAsia"/>
                <w:sz w:val="20"/>
                <w:szCs w:val="20"/>
                <w:lang w:val="en-US" w:eastAsia="zh-CN"/>
              </w:rPr>
            </w:pPr>
            <w:r>
              <w:rPr>
                <w:rFonts w:hint="eastAsia" w:ascii="宋体" w:hAnsi="宋体" w:eastAsia="宋体" w:cs="宋体"/>
                <w:color w:val="000000"/>
                <w:kern w:val="0"/>
                <w:sz w:val="20"/>
                <w:szCs w:val="20"/>
                <w:lang w:bidi="ar"/>
              </w:rPr>
              <w:t>基本医疗类指标</w:t>
            </w:r>
          </w:p>
        </w:tc>
        <w:tc>
          <w:tcPr>
            <w:tcW w:w="6600"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具备以下相应的统计分析报表或图表：</w:t>
            </w:r>
          </w:p>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1.医疗卫生机构床位数</w:t>
            </w:r>
          </w:p>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2.医疗机构门诊就诊人次</w:t>
            </w:r>
          </w:p>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3.医疗机构出院人次</w:t>
            </w:r>
          </w:p>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4.医疗机构门诊次均费用、住院次均费用、药占比</w:t>
            </w:r>
          </w:p>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5.医疗机构预约诊疗率</w:t>
            </w:r>
          </w:p>
          <w:p>
            <w:pPr>
              <w:widowControl/>
              <w:jc w:val="left"/>
              <w:textAlignment w:val="center"/>
              <w:rPr>
                <w:sz w:val="20"/>
                <w:szCs w:val="20"/>
              </w:rPr>
            </w:pPr>
            <w:r>
              <w:rPr>
                <w:rFonts w:hint="eastAsia" w:ascii="宋体" w:hAnsi="宋体" w:eastAsia="宋体" w:cs="宋体"/>
                <w:color w:val="000000"/>
                <w:kern w:val="0"/>
                <w:sz w:val="20"/>
                <w:szCs w:val="20"/>
                <w:lang w:bidi="ar"/>
              </w:rPr>
              <w:t>6.医疗机构移动支付率</w:t>
            </w:r>
          </w:p>
        </w:tc>
      </w:tr>
      <w:tr>
        <w:tblPrEx>
          <w:tblCellMar>
            <w:top w:w="15" w:type="dxa"/>
            <w:left w:w="15" w:type="dxa"/>
            <w:bottom w:w="15" w:type="dxa"/>
            <w:right w:w="15" w:type="dxa"/>
          </w:tblCellMar>
        </w:tblPrEx>
        <w:trPr>
          <w:trHeight w:val="9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sz w:val="20"/>
                <w:szCs w:val="20"/>
              </w:rPr>
            </w:pPr>
            <w:r>
              <w:rPr>
                <w:rFonts w:hint="eastAsia" w:ascii="宋体" w:hAnsi="宋体" w:eastAsia="宋体" w:cs="宋体"/>
                <w:color w:val="000000"/>
                <w:sz w:val="20"/>
                <w:szCs w:val="20"/>
              </w:rPr>
              <w:t>2</w:t>
            </w:r>
          </w:p>
        </w:tc>
        <w:tc>
          <w:tcPr>
            <w:tcW w:w="2294"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sz w:val="20"/>
                <w:szCs w:val="20"/>
              </w:rPr>
            </w:pPr>
            <w:r>
              <w:rPr>
                <w:rFonts w:hint="eastAsia" w:ascii="宋体" w:hAnsi="宋体" w:eastAsia="宋体" w:cs="宋体"/>
                <w:color w:val="000000"/>
                <w:kern w:val="0"/>
                <w:sz w:val="20"/>
                <w:szCs w:val="20"/>
                <w:lang w:bidi="ar"/>
              </w:rPr>
              <w:t>建档签约类指标</w:t>
            </w:r>
          </w:p>
        </w:tc>
        <w:tc>
          <w:tcPr>
            <w:tcW w:w="6600"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具备以下相应的统计分析报表或图表：</w:t>
            </w:r>
          </w:p>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1.社区基本档案建档率</w:t>
            </w:r>
          </w:p>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2.全员人口建档率</w:t>
            </w:r>
          </w:p>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3.孕产妇建卡率</w:t>
            </w:r>
          </w:p>
          <w:p>
            <w:pPr>
              <w:widowControl/>
              <w:jc w:val="left"/>
              <w:textAlignment w:val="center"/>
              <w:rPr>
                <w:sz w:val="20"/>
                <w:szCs w:val="20"/>
              </w:rPr>
            </w:pPr>
            <w:r>
              <w:rPr>
                <w:rFonts w:hint="eastAsia" w:ascii="宋体" w:hAnsi="宋体" w:eastAsia="宋体" w:cs="宋体"/>
                <w:color w:val="000000"/>
                <w:kern w:val="0"/>
                <w:sz w:val="20"/>
                <w:szCs w:val="20"/>
                <w:lang w:bidi="ar"/>
              </w:rPr>
              <w:t>4.家庭医生签约率</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hint="eastAsia" w:eastAsiaTheme="minorEastAsia"/>
                <w:sz w:val="20"/>
                <w:szCs w:val="20"/>
                <w:lang w:eastAsia="zh-CN"/>
              </w:rPr>
            </w:pPr>
            <w:r>
              <w:rPr>
                <w:rFonts w:hint="eastAsia" w:ascii="宋体" w:hAnsi="宋体" w:eastAsia="宋体" w:cs="宋体"/>
                <w:color w:val="000000"/>
                <w:sz w:val="20"/>
                <w:szCs w:val="20"/>
                <w:lang w:val="en-US" w:eastAsia="zh-CN"/>
              </w:rPr>
              <w:t>3</w:t>
            </w:r>
          </w:p>
        </w:tc>
        <w:tc>
          <w:tcPr>
            <w:tcW w:w="2294"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sz w:val="20"/>
                <w:szCs w:val="20"/>
              </w:rPr>
            </w:pPr>
            <w:r>
              <w:rPr>
                <w:rFonts w:hint="eastAsia" w:ascii="宋体" w:hAnsi="宋体" w:eastAsia="宋体" w:cs="宋体"/>
                <w:color w:val="000000"/>
                <w:kern w:val="0"/>
                <w:sz w:val="20"/>
                <w:szCs w:val="20"/>
                <w:lang w:bidi="ar"/>
              </w:rPr>
              <w:t>慢病及精防管理类指标</w:t>
            </w:r>
          </w:p>
        </w:tc>
        <w:tc>
          <w:tcPr>
            <w:tcW w:w="6600"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具备以下相应的统计分析报表或图表：</w:t>
            </w:r>
          </w:p>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1.糖尿病患者规范化管理率</w:t>
            </w:r>
          </w:p>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2.高血压患者规范化管理率</w:t>
            </w:r>
          </w:p>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3.乙型肝炎表面抗原携带率</w:t>
            </w:r>
          </w:p>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4.恶性肿瘤规范化管理率</w:t>
            </w:r>
          </w:p>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5.慢性阻塞性肺疾病管理率</w:t>
            </w:r>
          </w:p>
          <w:p>
            <w:pPr>
              <w:widowControl/>
              <w:jc w:val="left"/>
              <w:textAlignment w:val="center"/>
              <w:rPr>
                <w:rFonts w:eastAsia="宋体"/>
                <w:sz w:val="20"/>
                <w:szCs w:val="20"/>
              </w:rPr>
            </w:pPr>
            <w:r>
              <w:rPr>
                <w:rFonts w:hint="eastAsia" w:ascii="宋体" w:hAnsi="宋体" w:eastAsia="宋体" w:cs="宋体"/>
                <w:color w:val="000000"/>
                <w:kern w:val="0"/>
                <w:sz w:val="20"/>
                <w:szCs w:val="20"/>
                <w:lang w:bidi="ar"/>
              </w:rPr>
              <w:t>6.重性精神病规范化管理率</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4</w:t>
            </w:r>
          </w:p>
        </w:tc>
        <w:tc>
          <w:tcPr>
            <w:tcW w:w="2294"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妇儿保管理类指标</w:t>
            </w:r>
          </w:p>
        </w:tc>
        <w:tc>
          <w:tcPr>
            <w:tcW w:w="6600"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具备以下相应的统计分析报表或图表：</w:t>
            </w:r>
          </w:p>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1.优生优育产前筛查人次</w:t>
            </w:r>
          </w:p>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2.孕产妇住院分娩人次</w:t>
            </w:r>
          </w:p>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3.42 天产后随访人次</w:t>
            </w:r>
          </w:p>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4.孕产妇系统管理率</w:t>
            </w:r>
          </w:p>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5.3岁以下儿童系统管理率</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6.适龄儿童免疫规划疫苗接种率</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5</w:t>
            </w:r>
          </w:p>
        </w:tc>
        <w:tc>
          <w:tcPr>
            <w:tcW w:w="2294"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死因登记类指标</w:t>
            </w:r>
          </w:p>
        </w:tc>
        <w:tc>
          <w:tcPr>
            <w:tcW w:w="6600"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具备以下相应的统计分析报表或图表：</w:t>
            </w:r>
          </w:p>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1.0-7 岁儿童死亡率</w:t>
            </w:r>
          </w:p>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2.孕产妇死亡率</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3.65 岁以上老人死亡率</w:t>
            </w:r>
          </w:p>
        </w:tc>
      </w:tr>
    </w:tbl>
    <w:p>
      <w:pPr>
        <w:pStyle w:val="7"/>
      </w:pPr>
    </w:p>
    <w:p>
      <w:pPr>
        <w:pStyle w:val="5"/>
        <w:spacing w:before="20" w:after="20" w:line="360" w:lineRule="auto"/>
        <w:rPr>
          <w:rFonts w:ascii="Times New Roman" w:hAnsi="Times New Roman"/>
          <w:sz w:val="24"/>
          <w:szCs w:val="21"/>
        </w:rPr>
      </w:pPr>
      <w:r>
        <w:rPr>
          <w:rFonts w:hint="eastAsia" w:ascii="Times New Roman" w:hAnsi="Times New Roman"/>
          <w:sz w:val="24"/>
          <w:szCs w:val="21"/>
          <w:lang w:val="en-US" w:eastAsia="zh-CN"/>
        </w:rPr>
        <w:t>3</w:t>
      </w:r>
      <w:r>
        <w:rPr>
          <w:rFonts w:hint="eastAsia" w:ascii="Times New Roman" w:hAnsi="Times New Roman"/>
          <w:sz w:val="24"/>
          <w:szCs w:val="21"/>
        </w:rPr>
        <w:t>.2.</w:t>
      </w:r>
      <w:r>
        <w:rPr>
          <w:rFonts w:hint="eastAsia" w:ascii="Times New Roman" w:hAnsi="Times New Roman"/>
          <w:sz w:val="24"/>
          <w:szCs w:val="21"/>
          <w:lang w:val="en-US" w:eastAsia="zh-CN"/>
        </w:rPr>
        <w:t>3.3</w:t>
      </w:r>
      <w:r>
        <w:rPr>
          <w:rFonts w:hint="eastAsia" w:ascii="Times New Roman" w:hAnsi="Times New Roman"/>
          <w:sz w:val="24"/>
          <w:szCs w:val="21"/>
        </w:rPr>
        <w:t>便民服务应用</w:t>
      </w:r>
    </w:p>
    <w:tbl>
      <w:tblPr>
        <w:tblStyle w:val="9"/>
        <w:tblW w:w="9475" w:type="dxa"/>
        <w:tblInd w:w="0" w:type="dxa"/>
        <w:tblLayout w:type="fixed"/>
        <w:tblCellMar>
          <w:top w:w="15" w:type="dxa"/>
          <w:left w:w="15" w:type="dxa"/>
          <w:bottom w:w="15" w:type="dxa"/>
          <w:right w:w="15" w:type="dxa"/>
        </w:tblCellMar>
      </w:tblPr>
      <w:tblGrid>
        <w:gridCol w:w="602"/>
        <w:gridCol w:w="2818"/>
        <w:gridCol w:w="6055"/>
      </w:tblGrid>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tcPr>
          <w:p>
            <w:pPr>
              <w:pStyle w:val="8"/>
              <w:widowControl/>
              <w:jc w:val="center"/>
              <w:rPr>
                <w:rFonts w:ascii="宋体" w:hAnsi="宋体" w:eastAsia="宋体" w:cs="宋体"/>
                <w:color w:val="000000"/>
                <w:sz w:val="21"/>
                <w:szCs w:val="21"/>
              </w:rPr>
            </w:pPr>
            <w:r>
              <w:rPr>
                <w:rFonts w:hint="eastAsia" w:ascii="宋体" w:hAnsi="宋体" w:eastAsia="宋体" w:cs="宋体"/>
                <w:color w:val="000000"/>
                <w:sz w:val="21"/>
                <w:szCs w:val="21"/>
              </w:rPr>
              <w:t>序号</w:t>
            </w:r>
          </w:p>
        </w:tc>
        <w:tc>
          <w:tcPr>
            <w:tcW w:w="2818"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tcPr>
          <w:p>
            <w:pPr>
              <w:pStyle w:val="8"/>
              <w:widowControl/>
              <w:jc w:val="center"/>
              <w:rPr>
                <w:rFonts w:hint="eastAsia" w:ascii="宋体" w:hAnsi="宋体" w:eastAsia="宋体" w:cs="宋体"/>
                <w:color w:val="000000"/>
                <w:kern w:val="0"/>
                <w:sz w:val="21"/>
                <w:szCs w:val="21"/>
                <w:lang w:eastAsia="zh-CN" w:bidi="ar"/>
              </w:rPr>
            </w:pPr>
            <w:r>
              <w:rPr>
                <w:rFonts w:hint="eastAsia" w:ascii="宋体" w:hAnsi="宋体" w:eastAsia="宋体" w:cs="宋体"/>
                <w:b/>
                <w:bCs/>
                <w:color w:val="000000"/>
                <w:sz w:val="21"/>
                <w:szCs w:val="21"/>
                <w:lang w:val="en-US" w:eastAsia="zh-CN"/>
              </w:rPr>
              <w:t>测评项</w:t>
            </w:r>
          </w:p>
        </w:tc>
        <w:tc>
          <w:tcPr>
            <w:tcW w:w="6055"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tcPr>
          <w:p>
            <w:pPr>
              <w:pStyle w:val="8"/>
              <w:widowControl/>
              <w:jc w:val="center"/>
              <w:rPr>
                <w:rFonts w:hint="default" w:ascii="宋体" w:hAnsi="宋体" w:eastAsia="宋体" w:cs="宋体"/>
                <w:color w:val="000000"/>
                <w:kern w:val="0"/>
                <w:sz w:val="21"/>
                <w:szCs w:val="21"/>
                <w:lang w:val="en-US" w:eastAsia="zh-CN" w:bidi="ar"/>
              </w:rPr>
            </w:pPr>
            <w:r>
              <w:rPr>
                <w:rFonts w:hint="eastAsia" w:ascii="宋体" w:hAnsi="宋体" w:eastAsia="宋体" w:cs="宋体"/>
                <w:b/>
                <w:bCs/>
                <w:color w:val="000000"/>
                <w:sz w:val="21"/>
                <w:szCs w:val="21"/>
                <w:lang w:val="en-US" w:eastAsia="zh-CN"/>
              </w:rPr>
              <w:t>需求描述</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kern w:val="0"/>
                <w:sz w:val="20"/>
                <w:szCs w:val="20"/>
                <w:lang w:bidi="ar"/>
              </w:rPr>
            </w:pPr>
            <w:r>
              <w:rPr>
                <w:rFonts w:hint="eastAsia" w:ascii="宋体" w:hAnsi="宋体" w:eastAsia="宋体" w:cs="宋体"/>
                <w:color w:val="000000"/>
                <w:sz w:val="20"/>
                <w:szCs w:val="20"/>
              </w:rPr>
              <w:t>1</w:t>
            </w:r>
          </w:p>
        </w:tc>
        <w:tc>
          <w:tcPr>
            <w:tcW w:w="2818"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both"/>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健康档案信息维护</w:t>
            </w:r>
          </w:p>
        </w:tc>
        <w:tc>
          <w:tcPr>
            <w:tcW w:w="6055"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tcPr>
          <w:p>
            <w:pPr>
              <w:widowControl/>
              <w:numPr>
                <w:ilvl w:val="0"/>
                <w:numId w:val="3"/>
              </w:numPr>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居</w:t>
            </w:r>
            <w:r>
              <w:rPr>
                <w:rFonts w:hint="eastAsia" w:ascii="宋体" w:hAnsi="宋体" w:eastAsia="宋体" w:cs="宋体"/>
                <w:color w:val="000000"/>
                <w:kern w:val="0"/>
                <w:sz w:val="20"/>
                <w:szCs w:val="20"/>
                <w:lang w:bidi="ar"/>
              </w:rPr>
              <w:t>民</w:t>
            </w:r>
            <w:r>
              <w:rPr>
                <w:rFonts w:hint="eastAsia" w:ascii="宋体" w:hAnsi="宋体" w:eastAsia="宋体" w:cs="宋体"/>
                <w:color w:val="000000"/>
                <w:kern w:val="0"/>
                <w:sz w:val="20"/>
                <w:szCs w:val="20"/>
                <w:lang w:val="en-US" w:eastAsia="zh-CN" w:bidi="ar"/>
              </w:rPr>
              <w:t>线上</w:t>
            </w:r>
            <w:r>
              <w:rPr>
                <w:rFonts w:hint="eastAsia" w:ascii="宋体" w:hAnsi="宋体" w:eastAsia="宋体" w:cs="宋体"/>
                <w:color w:val="000000"/>
                <w:kern w:val="0"/>
                <w:sz w:val="20"/>
                <w:szCs w:val="20"/>
                <w:lang w:bidi="ar"/>
              </w:rPr>
              <w:t>可以</w:t>
            </w:r>
            <w:r>
              <w:rPr>
                <w:rFonts w:hint="eastAsia" w:ascii="宋体" w:hAnsi="宋体" w:eastAsia="宋体" w:cs="宋体"/>
                <w:color w:val="000000"/>
                <w:kern w:val="0"/>
                <w:sz w:val="20"/>
                <w:szCs w:val="20"/>
                <w:lang w:val="en-US" w:eastAsia="zh-CN" w:bidi="ar"/>
              </w:rPr>
              <w:t>对自己的</w:t>
            </w:r>
            <w:r>
              <w:rPr>
                <w:rFonts w:hint="eastAsia" w:ascii="宋体" w:hAnsi="宋体" w:eastAsia="宋体" w:cs="宋体"/>
                <w:color w:val="000000"/>
                <w:kern w:val="0"/>
                <w:sz w:val="20"/>
                <w:szCs w:val="20"/>
                <w:lang w:bidi="ar"/>
              </w:rPr>
              <w:t>健康档案</w:t>
            </w:r>
            <w:r>
              <w:rPr>
                <w:rFonts w:hint="eastAsia" w:ascii="宋体" w:hAnsi="宋体" w:eastAsia="宋体" w:cs="宋体"/>
                <w:color w:val="000000"/>
                <w:kern w:val="0"/>
                <w:sz w:val="20"/>
                <w:szCs w:val="20"/>
                <w:lang w:val="en-US" w:eastAsia="zh-CN" w:bidi="ar"/>
              </w:rPr>
              <w:t>基本信息进行维护；</w:t>
            </w:r>
          </w:p>
          <w:p>
            <w:pPr>
              <w:widowControl/>
              <w:numPr>
                <w:ilvl w:val="0"/>
                <w:numId w:val="3"/>
              </w:numPr>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区集成平台上存在居民维护自己健康档案信息的消息日志。</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2818"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both"/>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健康档案应用授权管理</w:t>
            </w:r>
          </w:p>
        </w:tc>
        <w:tc>
          <w:tcPr>
            <w:tcW w:w="6055"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numPr>
                <w:ilvl w:val="0"/>
                <w:numId w:val="0"/>
              </w:numPr>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val="en-US" w:eastAsia="zh-CN" w:bidi="ar"/>
              </w:rPr>
              <w:t>1、居</w:t>
            </w:r>
            <w:r>
              <w:rPr>
                <w:rFonts w:hint="eastAsia" w:ascii="宋体" w:hAnsi="宋体" w:eastAsia="宋体" w:cs="宋体"/>
                <w:color w:val="000000"/>
                <w:kern w:val="0"/>
                <w:sz w:val="20"/>
                <w:szCs w:val="20"/>
                <w:lang w:bidi="ar"/>
              </w:rPr>
              <w:t>民可以在自己的电子健康档案上允许公开或访问哪些健康信息</w:t>
            </w:r>
            <w:r>
              <w:rPr>
                <w:rFonts w:hint="eastAsia" w:ascii="宋体" w:hAnsi="宋体" w:eastAsia="宋体" w:cs="宋体"/>
                <w:color w:val="000000"/>
                <w:kern w:val="0"/>
                <w:sz w:val="20"/>
                <w:szCs w:val="20"/>
                <w:lang w:eastAsia="zh-CN" w:bidi="ar"/>
              </w:rPr>
              <w:t>；</w:t>
            </w:r>
          </w:p>
          <w:p>
            <w:pPr>
              <w:widowControl/>
              <w:numPr>
                <w:ilvl w:val="0"/>
                <w:numId w:val="0"/>
              </w:numPr>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w:t>
            </w:r>
            <w:r>
              <w:rPr>
                <w:rFonts w:hint="eastAsia" w:ascii="宋体" w:hAnsi="宋体" w:eastAsia="宋体" w:cs="宋体"/>
                <w:color w:val="000000"/>
                <w:kern w:val="0"/>
                <w:sz w:val="20"/>
                <w:szCs w:val="20"/>
                <w:lang w:bidi="ar"/>
              </w:rPr>
              <w:t>跨机构访问患者电子健康档案信息前，要经过患者授权许可后才能访问。</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2818"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both"/>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移动端统一门户</w:t>
            </w:r>
          </w:p>
        </w:tc>
        <w:tc>
          <w:tcPr>
            <w:tcW w:w="6055"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numPr>
                <w:ilvl w:val="0"/>
                <w:numId w:val="4"/>
              </w:numPr>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居民预约挂号、检验检查查询、公共卫生服务、妇幼保健等业务统一入口；</w:t>
            </w:r>
          </w:p>
          <w:p>
            <w:pPr>
              <w:widowControl/>
              <w:numPr>
                <w:ilvl w:val="0"/>
                <w:numId w:val="4"/>
              </w:numPr>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统一认证体系。</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0"/>
                <w:szCs w:val="20"/>
              </w:rPr>
            </w:pPr>
            <w:r>
              <w:rPr>
                <w:rFonts w:hint="eastAsia" w:ascii="宋体" w:hAnsi="宋体" w:eastAsia="宋体" w:cs="宋体"/>
                <w:color w:val="000000"/>
                <w:sz w:val="20"/>
                <w:szCs w:val="20"/>
              </w:rPr>
              <w:t>4</w:t>
            </w:r>
          </w:p>
        </w:tc>
        <w:tc>
          <w:tcPr>
            <w:tcW w:w="2818"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both"/>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家庭医生签约</w:t>
            </w:r>
          </w:p>
        </w:tc>
        <w:tc>
          <w:tcPr>
            <w:tcW w:w="6055"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numPr>
                <w:ilvl w:val="0"/>
                <w:numId w:val="5"/>
              </w:numPr>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居民可以在线上选择医生进行签约；</w:t>
            </w:r>
          </w:p>
          <w:p>
            <w:pPr>
              <w:widowControl/>
              <w:numPr>
                <w:ilvl w:val="0"/>
                <w:numId w:val="5"/>
              </w:numPr>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区集成平台上有家庭医生签约的消息日志。</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ascii="宋体" w:hAnsi="宋体" w:eastAsia="宋体" w:cs="宋体"/>
                <w:color w:val="000000"/>
                <w:sz w:val="20"/>
                <w:szCs w:val="20"/>
              </w:rPr>
            </w:pPr>
            <w:r>
              <w:rPr>
                <w:rFonts w:hint="eastAsia" w:ascii="宋体" w:hAnsi="宋体" w:eastAsia="宋体" w:cs="宋体"/>
                <w:color w:val="000000"/>
                <w:sz w:val="20"/>
                <w:szCs w:val="20"/>
              </w:rPr>
              <w:t>5</w:t>
            </w:r>
          </w:p>
        </w:tc>
        <w:tc>
          <w:tcPr>
            <w:tcW w:w="2818"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both"/>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健康画像应用</w:t>
            </w:r>
          </w:p>
        </w:tc>
        <w:tc>
          <w:tcPr>
            <w:tcW w:w="6055"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1、基于居民健康档案信息生成3D可视化健康画像；</w:t>
            </w:r>
          </w:p>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2、通过可视化展示器官和身体系统，例如心脏、肺部、消化系统等，可进行风险项展示，指标趋势分析等；</w:t>
            </w:r>
          </w:p>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3、提供居民健康标签能力并共享，赋能个性化、精准化健康服务。</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w:t>
            </w:r>
          </w:p>
        </w:tc>
        <w:tc>
          <w:tcPr>
            <w:tcW w:w="2818"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both"/>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电子健康卡</w:t>
            </w:r>
            <w:r>
              <w:rPr>
                <w:rFonts w:hint="eastAsia" w:ascii="宋体" w:hAnsi="宋体" w:eastAsia="宋体" w:cs="宋体"/>
                <w:color w:val="000000"/>
                <w:kern w:val="0"/>
                <w:sz w:val="20"/>
                <w:szCs w:val="20"/>
                <w:lang w:val="en-US" w:eastAsia="zh-CN" w:bidi="ar"/>
              </w:rPr>
              <w:t>/码应</w:t>
            </w:r>
            <w:r>
              <w:rPr>
                <w:rFonts w:hint="eastAsia" w:ascii="宋体" w:hAnsi="宋体" w:eastAsia="宋体" w:cs="宋体"/>
                <w:color w:val="000000"/>
                <w:kern w:val="0"/>
                <w:sz w:val="20"/>
                <w:szCs w:val="20"/>
                <w:lang w:bidi="ar"/>
              </w:rPr>
              <w:t>用</w:t>
            </w:r>
          </w:p>
        </w:tc>
        <w:tc>
          <w:tcPr>
            <w:tcW w:w="6055"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numPr>
                <w:ilvl w:val="0"/>
                <w:numId w:val="0"/>
              </w:numPr>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1、通过集成平台进行绑定/调阅</w:t>
            </w:r>
            <w:r>
              <w:rPr>
                <w:rFonts w:hint="eastAsia" w:ascii="宋体" w:hAnsi="宋体" w:eastAsia="宋体" w:cs="宋体"/>
                <w:color w:val="000000"/>
                <w:kern w:val="0"/>
                <w:sz w:val="20"/>
                <w:szCs w:val="20"/>
                <w:lang w:bidi="ar"/>
              </w:rPr>
              <w:t>电子健康码</w:t>
            </w:r>
            <w:r>
              <w:rPr>
                <w:rFonts w:hint="eastAsia" w:ascii="宋体" w:hAnsi="宋体" w:eastAsia="宋体" w:cs="宋体"/>
                <w:color w:val="000000"/>
                <w:kern w:val="0"/>
                <w:sz w:val="20"/>
                <w:szCs w:val="20"/>
                <w:lang w:val="en-US" w:eastAsia="zh-CN" w:bidi="ar"/>
              </w:rPr>
              <w:t>信息；</w:t>
            </w:r>
          </w:p>
          <w:p>
            <w:pPr>
              <w:widowControl/>
              <w:numPr>
                <w:ilvl w:val="0"/>
                <w:numId w:val="0"/>
              </w:numPr>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2、区集成平台存在绑定/调阅</w:t>
            </w:r>
            <w:r>
              <w:rPr>
                <w:rFonts w:hint="eastAsia" w:ascii="宋体" w:hAnsi="宋体" w:eastAsia="宋体" w:cs="宋体"/>
                <w:color w:val="000000"/>
                <w:kern w:val="0"/>
                <w:sz w:val="20"/>
                <w:szCs w:val="20"/>
                <w:lang w:bidi="ar"/>
              </w:rPr>
              <w:t>电子健康码</w:t>
            </w:r>
            <w:r>
              <w:rPr>
                <w:rFonts w:hint="eastAsia" w:ascii="宋体" w:hAnsi="宋体" w:eastAsia="宋体" w:cs="宋体"/>
                <w:color w:val="000000"/>
                <w:kern w:val="0"/>
                <w:sz w:val="20"/>
                <w:szCs w:val="20"/>
                <w:lang w:val="en-US" w:eastAsia="zh-CN" w:bidi="ar"/>
              </w:rPr>
              <w:t>的消息日志</w:t>
            </w:r>
            <w:r>
              <w:rPr>
                <w:rFonts w:hint="eastAsia" w:ascii="宋体" w:hAnsi="宋体" w:eastAsia="宋体" w:cs="宋体"/>
                <w:color w:val="000000"/>
                <w:kern w:val="0"/>
                <w:sz w:val="20"/>
                <w:szCs w:val="20"/>
                <w:lang w:bidi="ar"/>
              </w:rPr>
              <w:t>。</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w:t>
            </w:r>
          </w:p>
        </w:tc>
        <w:tc>
          <w:tcPr>
            <w:tcW w:w="2818"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both"/>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处方流转</w:t>
            </w:r>
          </w:p>
        </w:tc>
        <w:tc>
          <w:tcPr>
            <w:tcW w:w="6055"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numPr>
                <w:ilvl w:val="0"/>
                <w:numId w:val="0"/>
              </w:numPr>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1、通过集成平台进行处方信息流转；</w:t>
            </w:r>
          </w:p>
          <w:p>
            <w:pPr>
              <w:widowControl/>
              <w:numPr>
                <w:ilvl w:val="0"/>
                <w:numId w:val="0"/>
              </w:numPr>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2、区集成平台存在处方信息流转的消息日志</w:t>
            </w:r>
            <w:r>
              <w:rPr>
                <w:rFonts w:hint="eastAsia" w:ascii="宋体" w:hAnsi="宋体" w:eastAsia="宋体" w:cs="宋体"/>
                <w:color w:val="000000"/>
                <w:kern w:val="0"/>
                <w:sz w:val="20"/>
                <w:szCs w:val="20"/>
                <w:lang w:bidi="ar"/>
              </w:rPr>
              <w:t>。</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w:t>
            </w:r>
          </w:p>
        </w:tc>
        <w:tc>
          <w:tcPr>
            <w:tcW w:w="2818"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both"/>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出生证预约打印服务</w:t>
            </w:r>
          </w:p>
        </w:tc>
        <w:tc>
          <w:tcPr>
            <w:tcW w:w="6055"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bidi="ar"/>
              </w:rPr>
              <w:t>1</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val="en-US" w:eastAsia="zh-CN" w:bidi="ar"/>
              </w:rPr>
              <w:t>居民线上预约打印出生证；</w:t>
            </w:r>
          </w:p>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2、区集成平台上存在预约打印出生证的消息日志。</w:t>
            </w:r>
          </w:p>
        </w:tc>
      </w:tr>
    </w:tbl>
    <w:p>
      <w:pPr>
        <w:pStyle w:val="5"/>
        <w:spacing w:before="60" w:beforeAutospacing="0" w:after="60" w:afterAutospacing="0" w:line="360" w:lineRule="auto"/>
        <w:jc w:val="both"/>
        <w:rPr>
          <w:rFonts w:hint="default"/>
        </w:rPr>
      </w:pPr>
      <w:r>
        <w:rPr>
          <w:rFonts w:hint="eastAsia"/>
          <w:lang w:val="en-US" w:eastAsia="zh-CN"/>
        </w:rPr>
        <w:t>3</w:t>
      </w:r>
      <w:r>
        <w:t>.2.</w:t>
      </w:r>
      <w:r>
        <w:rPr>
          <w:rFonts w:hint="eastAsia"/>
          <w:lang w:val="en-US" w:eastAsia="zh-CN"/>
        </w:rPr>
        <w:t>3</w:t>
      </w:r>
      <w:r>
        <w:t>.</w:t>
      </w:r>
      <w:r>
        <w:rPr>
          <w:rFonts w:hint="eastAsia"/>
          <w:lang w:val="en-US" w:eastAsia="zh-CN"/>
        </w:rPr>
        <w:t>4</w:t>
      </w:r>
      <w:r>
        <w:t>健康数据可视化</w:t>
      </w:r>
      <w:r>
        <w:rPr>
          <w:rFonts w:hint="eastAsia"/>
          <w:lang w:val="en-US" w:eastAsia="zh-CN"/>
        </w:rPr>
        <w:t>大屏应用</w:t>
      </w:r>
    </w:p>
    <w:tbl>
      <w:tblPr>
        <w:tblStyle w:val="9"/>
        <w:tblW w:w="9486" w:type="dxa"/>
        <w:tblInd w:w="0" w:type="dxa"/>
        <w:tblLayout w:type="fixed"/>
        <w:tblCellMar>
          <w:top w:w="15" w:type="dxa"/>
          <w:left w:w="15" w:type="dxa"/>
          <w:bottom w:w="15" w:type="dxa"/>
          <w:right w:w="15" w:type="dxa"/>
        </w:tblCellMar>
      </w:tblPr>
      <w:tblGrid>
        <w:gridCol w:w="602"/>
        <w:gridCol w:w="2807"/>
        <w:gridCol w:w="6077"/>
      </w:tblGrid>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tcPr>
          <w:p>
            <w:pPr>
              <w:pStyle w:val="8"/>
              <w:widowControl/>
              <w:jc w:val="center"/>
            </w:pPr>
            <w:r>
              <w:rPr>
                <w:rFonts w:hint="eastAsia" w:ascii="宋体" w:hAnsi="宋体" w:eastAsia="宋体" w:cs="宋体"/>
                <w:b/>
                <w:bCs/>
                <w:color w:val="000000"/>
                <w:sz w:val="21"/>
                <w:szCs w:val="21"/>
              </w:rPr>
              <w:t>序号</w:t>
            </w:r>
          </w:p>
        </w:tc>
        <w:tc>
          <w:tcPr>
            <w:tcW w:w="280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tcPr>
          <w:p>
            <w:pPr>
              <w:pStyle w:val="8"/>
              <w:widowControl/>
              <w:jc w:val="center"/>
              <w:rPr>
                <w:rFonts w:hint="eastAsia" w:eastAsiaTheme="minorEastAsia"/>
                <w:b/>
                <w:bCs/>
                <w:lang w:eastAsia="zh-CN"/>
              </w:rPr>
            </w:pPr>
            <w:r>
              <w:rPr>
                <w:rFonts w:hint="eastAsia" w:ascii="宋体" w:hAnsi="宋体" w:eastAsia="宋体" w:cs="宋体"/>
                <w:b/>
                <w:bCs/>
                <w:color w:val="000000"/>
                <w:sz w:val="21"/>
                <w:szCs w:val="21"/>
                <w:lang w:val="en-US" w:eastAsia="zh-CN"/>
              </w:rPr>
              <w:t>测评项</w:t>
            </w:r>
          </w:p>
        </w:tc>
        <w:tc>
          <w:tcPr>
            <w:tcW w:w="607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tcPr>
          <w:p>
            <w:pPr>
              <w:pStyle w:val="8"/>
              <w:widowControl/>
              <w:jc w:val="center"/>
              <w:rPr>
                <w:rFonts w:hint="eastAsia" w:eastAsiaTheme="minorEastAsia"/>
                <w:b/>
                <w:bCs/>
                <w:lang w:eastAsia="zh-CN"/>
              </w:rPr>
            </w:pPr>
            <w:r>
              <w:rPr>
                <w:rFonts w:hint="eastAsia"/>
                <w:b/>
                <w:bCs/>
                <w:lang w:val="en-US" w:eastAsia="zh-CN"/>
              </w:rPr>
              <w:t>需求描述</w:t>
            </w:r>
          </w:p>
        </w:tc>
      </w:tr>
      <w:tr>
        <w:tblPrEx>
          <w:tblCellMar>
            <w:top w:w="15" w:type="dxa"/>
            <w:left w:w="15" w:type="dxa"/>
            <w:bottom w:w="15" w:type="dxa"/>
            <w:right w:w="15" w:type="dxa"/>
          </w:tblCellMar>
        </w:tblPrEx>
        <w:trPr>
          <w:trHeight w:val="589"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280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default" w:eastAsiaTheme="minorEastAsia"/>
                <w:lang w:val="en-US" w:eastAsia="zh-CN"/>
              </w:rPr>
            </w:pPr>
            <w:r>
              <w:rPr>
                <w:rFonts w:hint="eastAsia"/>
                <w:lang w:val="en-US" w:eastAsia="zh-CN"/>
              </w:rPr>
              <w:t>产品基础能力</w:t>
            </w:r>
          </w:p>
        </w:tc>
        <w:tc>
          <w:tcPr>
            <w:tcW w:w="607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numPr>
                <w:ilvl w:val="0"/>
                <w:numId w:val="6"/>
              </w:numPr>
              <w:jc w:val="left"/>
              <w:textAlignment w:val="center"/>
              <w:rPr>
                <w:rFonts w:hint="eastAsia"/>
                <w:lang w:val="en-US" w:eastAsia="zh-CN"/>
              </w:rPr>
            </w:pPr>
            <w:r>
              <w:rPr>
                <w:rFonts w:hint="eastAsia"/>
                <w:lang w:val="en-US" w:eastAsia="zh-CN"/>
              </w:rPr>
              <w:t>基于区域统一</w:t>
            </w:r>
            <w:r>
              <w:rPr>
                <w:rFonts w:hint="eastAsia"/>
              </w:rPr>
              <w:t>数据</w:t>
            </w:r>
            <w:r>
              <w:rPr>
                <w:rFonts w:hint="eastAsia"/>
                <w:lang w:val="en-US" w:eastAsia="zh-CN"/>
              </w:rPr>
              <w:t>底座</w:t>
            </w:r>
            <w:r>
              <w:rPr>
                <w:rFonts w:hint="eastAsia"/>
              </w:rPr>
              <w:t>，</w:t>
            </w:r>
            <w:r>
              <w:rPr>
                <w:rFonts w:hint="eastAsia"/>
                <w:lang w:val="en-US" w:eastAsia="zh-CN"/>
              </w:rPr>
              <w:t>建设</w:t>
            </w:r>
            <w:r>
              <w:rPr>
                <w:rFonts w:hint="eastAsia"/>
              </w:rPr>
              <w:t>健康大数据可视化平台及各功能模块</w:t>
            </w:r>
            <w:r>
              <w:rPr>
                <w:rFonts w:hint="eastAsia"/>
                <w:lang w:eastAsia="zh-CN"/>
              </w:rPr>
              <w:t>，</w:t>
            </w:r>
            <w:r>
              <w:rPr>
                <w:rFonts w:hint="eastAsia"/>
                <w:lang w:val="en-US" w:eastAsia="zh-CN"/>
              </w:rPr>
              <w:t>具备3D</w:t>
            </w:r>
            <w:r>
              <w:rPr>
                <w:rFonts w:hint="eastAsia"/>
              </w:rPr>
              <w:t>建模及</w:t>
            </w:r>
            <w:r>
              <w:rPr>
                <w:rFonts w:hint="eastAsia"/>
                <w:lang w:val="en-US" w:eastAsia="zh-CN"/>
              </w:rPr>
              <w:t>3D</w:t>
            </w:r>
            <w:r>
              <w:rPr>
                <w:rFonts w:hint="eastAsia"/>
              </w:rPr>
              <w:t>地图</w:t>
            </w:r>
            <w:r>
              <w:rPr>
                <w:rFonts w:hint="eastAsia"/>
                <w:lang w:val="en-US" w:eastAsia="zh-CN"/>
              </w:rPr>
              <w:t>可视化</w:t>
            </w:r>
            <w:r>
              <w:rPr>
                <w:rFonts w:hint="eastAsia"/>
              </w:rPr>
              <w:t>交互</w:t>
            </w:r>
            <w:r>
              <w:rPr>
                <w:rFonts w:hint="eastAsia"/>
                <w:lang w:val="en-US" w:eastAsia="zh-CN"/>
              </w:rPr>
              <w:t>能力；</w:t>
            </w:r>
          </w:p>
          <w:p>
            <w:pPr>
              <w:widowControl/>
              <w:numPr>
                <w:ilvl w:val="0"/>
                <w:numId w:val="6"/>
              </w:numPr>
              <w:jc w:val="left"/>
              <w:textAlignment w:val="center"/>
              <w:rPr>
                <w:rFonts w:hint="eastAsia" w:eastAsiaTheme="minorEastAsia"/>
                <w:lang w:val="en-US" w:eastAsia="zh-CN"/>
              </w:rPr>
            </w:pPr>
            <w:r>
              <w:rPr>
                <w:rFonts w:hint="eastAsia"/>
                <w:lang w:val="en-US" w:eastAsia="zh-CN"/>
              </w:rPr>
              <w:t>产品具备</w:t>
            </w:r>
            <w:r>
              <w:rPr>
                <w:rFonts w:hint="eastAsia"/>
              </w:rPr>
              <w:t>易用性、功能性、美观性</w:t>
            </w:r>
            <w:r>
              <w:rPr>
                <w:rFonts w:hint="eastAsia"/>
                <w:lang w:val="en-US" w:eastAsia="zh-CN"/>
              </w:rPr>
              <w:t>等。</w:t>
            </w:r>
          </w:p>
        </w:tc>
      </w:tr>
      <w:tr>
        <w:tblPrEx>
          <w:tblCellMar>
            <w:top w:w="15" w:type="dxa"/>
            <w:left w:w="15" w:type="dxa"/>
            <w:bottom w:w="15" w:type="dxa"/>
            <w:right w:w="15" w:type="dxa"/>
          </w:tblCellMar>
        </w:tblPrEx>
        <w:trPr>
          <w:trHeight w:val="966"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pPr>
            <w:r>
              <w:rPr>
                <w:rFonts w:ascii="宋体" w:hAnsi="宋体" w:eastAsia="宋体" w:cs="宋体"/>
                <w:color w:val="000000"/>
                <w:sz w:val="21"/>
                <w:szCs w:val="21"/>
              </w:rPr>
              <w:t>2</w:t>
            </w:r>
          </w:p>
        </w:tc>
        <w:tc>
          <w:tcPr>
            <w:tcW w:w="280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pPr>
            <w:r>
              <w:rPr>
                <w:rFonts w:hint="eastAsia"/>
              </w:rPr>
              <w:t>数据中台</w:t>
            </w:r>
            <w:r>
              <w:rPr>
                <w:rFonts w:hint="eastAsia"/>
                <w:lang w:val="en-US" w:eastAsia="zh-CN"/>
              </w:rPr>
              <w:t>数据</w:t>
            </w:r>
            <w:r>
              <w:rPr>
                <w:rFonts w:hint="eastAsia"/>
              </w:rPr>
              <w:t>接入</w:t>
            </w:r>
          </w:p>
        </w:tc>
        <w:tc>
          <w:tcPr>
            <w:tcW w:w="607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eastAsia" w:eastAsiaTheme="minorEastAsia"/>
                <w:lang w:eastAsia="zh-CN"/>
              </w:rPr>
            </w:pPr>
            <w:r>
              <w:rPr>
                <w:rFonts w:hint="eastAsia"/>
                <w:lang w:val="en-US" w:eastAsia="zh-CN"/>
              </w:rPr>
              <w:t>1、</w:t>
            </w:r>
            <w:r>
              <w:rPr>
                <w:rFonts w:hint="eastAsia"/>
              </w:rPr>
              <w:t>具备</w:t>
            </w:r>
            <w:r>
              <w:rPr>
                <w:rFonts w:hint="eastAsia"/>
                <w:lang w:val="en-US" w:eastAsia="zh-CN"/>
              </w:rPr>
              <w:t>指标</w:t>
            </w:r>
            <w:r>
              <w:rPr>
                <w:rFonts w:hint="eastAsia"/>
              </w:rPr>
              <w:t>数据</w:t>
            </w:r>
            <w:r>
              <w:rPr>
                <w:rFonts w:hint="eastAsia"/>
                <w:lang w:val="en-US" w:eastAsia="zh-CN"/>
              </w:rPr>
              <w:t>实时</w:t>
            </w:r>
            <w:r>
              <w:rPr>
                <w:rFonts w:hint="eastAsia"/>
              </w:rPr>
              <w:t>接入和展示能力</w:t>
            </w:r>
            <w:r>
              <w:rPr>
                <w:rFonts w:hint="eastAsia"/>
                <w:lang w:eastAsia="zh-CN"/>
              </w:rPr>
              <w:t>；</w:t>
            </w:r>
          </w:p>
          <w:p>
            <w:pPr>
              <w:widowControl/>
              <w:jc w:val="left"/>
              <w:textAlignment w:val="center"/>
            </w:pPr>
            <w:r>
              <w:rPr>
                <w:rFonts w:hint="eastAsia"/>
                <w:lang w:val="en-US" w:eastAsia="zh-CN"/>
              </w:rPr>
              <w:t>2、</w:t>
            </w:r>
            <w:r>
              <w:rPr>
                <w:rFonts w:hint="eastAsia"/>
              </w:rPr>
              <w:t>包括医疗服务、公共卫生、财务管理、信用就医、科研教学、社康建设、医院、社康等数据。</w:t>
            </w:r>
          </w:p>
        </w:tc>
      </w:tr>
      <w:tr>
        <w:tblPrEx>
          <w:tblCellMar>
            <w:top w:w="15" w:type="dxa"/>
            <w:left w:w="15" w:type="dxa"/>
            <w:bottom w:w="15" w:type="dxa"/>
            <w:right w:w="15" w:type="dxa"/>
          </w:tblCellMar>
        </w:tblPrEx>
        <w:trPr>
          <w:trHeight w:val="697"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ascii="宋体" w:hAnsi="宋体" w:eastAsia="宋体" w:cs="宋体"/>
                <w:color w:val="000000"/>
                <w:sz w:val="21"/>
                <w:szCs w:val="21"/>
              </w:rPr>
            </w:pPr>
            <w:r>
              <w:rPr>
                <w:rFonts w:ascii="宋体" w:hAnsi="宋体" w:eastAsia="宋体" w:cs="宋体"/>
                <w:color w:val="000000"/>
                <w:sz w:val="21"/>
                <w:szCs w:val="21"/>
              </w:rPr>
              <w:t>3</w:t>
            </w:r>
          </w:p>
        </w:tc>
        <w:tc>
          <w:tcPr>
            <w:tcW w:w="280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pPr>
            <w:r>
              <w:rPr>
                <w:rFonts w:hint="eastAsia"/>
              </w:rPr>
              <w:t>统计图表</w:t>
            </w:r>
          </w:p>
        </w:tc>
        <w:tc>
          <w:tcPr>
            <w:tcW w:w="607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default" w:eastAsia="宋体"/>
                <w:lang w:val="en-US" w:eastAsia="zh-CN"/>
              </w:rPr>
            </w:pPr>
            <w:r>
              <w:rPr>
                <w:rFonts w:hint="eastAsia" w:ascii="宋体" w:hAnsi="宋体" w:eastAsia="宋体" w:cs="宋体"/>
                <w:color w:val="000000"/>
                <w:kern w:val="0"/>
                <w:szCs w:val="21"/>
                <w:lang w:val="en-US" w:eastAsia="zh-CN" w:bidi="ar"/>
              </w:rPr>
              <w:t>1、</w:t>
            </w:r>
            <w:r>
              <w:rPr>
                <w:rFonts w:hint="eastAsia" w:ascii="宋体" w:hAnsi="宋体" w:eastAsia="宋体" w:cs="宋体"/>
                <w:color w:val="000000"/>
                <w:kern w:val="0"/>
                <w:szCs w:val="21"/>
                <w:lang w:bidi="ar"/>
              </w:rPr>
              <w:t>对展示数据绘制统计分析报表或图表，并可选择不同维度进行展示分析</w:t>
            </w:r>
            <w:r>
              <w:rPr>
                <w:rFonts w:hint="eastAsia" w:ascii="宋体" w:hAnsi="宋体" w:eastAsia="宋体" w:cs="宋体"/>
                <w:color w:val="000000"/>
                <w:kern w:val="0"/>
                <w:szCs w:val="21"/>
                <w:lang w:eastAsia="zh-CN" w:bidi="ar"/>
              </w:rPr>
              <w:t>，</w:t>
            </w:r>
            <w:r>
              <w:rPr>
                <w:rFonts w:hint="eastAsia" w:ascii="宋体" w:hAnsi="宋体" w:eastAsia="宋体" w:cs="宋体"/>
                <w:color w:val="000000"/>
                <w:kern w:val="0"/>
                <w:szCs w:val="21"/>
                <w:lang w:val="en-US" w:eastAsia="zh-CN" w:bidi="ar"/>
              </w:rPr>
              <w:t>同时与3D地图交互联动。</w:t>
            </w:r>
          </w:p>
        </w:tc>
      </w:tr>
      <w:tr>
        <w:tblPrEx>
          <w:tblCellMar>
            <w:top w:w="15" w:type="dxa"/>
            <w:left w:w="15" w:type="dxa"/>
            <w:bottom w:w="15" w:type="dxa"/>
            <w:right w:w="15" w:type="dxa"/>
          </w:tblCellMar>
        </w:tblPrEx>
        <w:trPr>
          <w:trHeight w:val="697"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280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default" w:eastAsiaTheme="minorEastAsia"/>
                <w:lang w:val="en-US" w:eastAsia="zh-CN"/>
              </w:rPr>
            </w:pPr>
            <w:r>
              <w:rPr>
                <w:rFonts w:hint="eastAsia"/>
                <w:lang w:val="en-US" w:eastAsia="zh-CN"/>
              </w:rPr>
              <w:t>支持多种编译发布方式</w:t>
            </w:r>
          </w:p>
        </w:tc>
        <w:tc>
          <w:tcPr>
            <w:tcW w:w="607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numPr>
                <w:ilvl w:val="0"/>
                <w:numId w:val="7"/>
              </w:numPr>
              <w:jc w:val="left"/>
              <w:textAlignment w:val="center"/>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支持大屏、PC、移动端多种应用发布能力；</w:t>
            </w:r>
          </w:p>
          <w:p>
            <w:pPr>
              <w:widowControl/>
              <w:numPr>
                <w:ilvl w:val="0"/>
                <w:numId w:val="7"/>
              </w:numPr>
              <w:jc w:val="left"/>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支持B/S、C/S多种发布形式。</w:t>
            </w:r>
          </w:p>
        </w:tc>
      </w:tr>
      <w:tr>
        <w:tblPrEx>
          <w:tblCellMar>
            <w:top w:w="15" w:type="dxa"/>
            <w:left w:w="15" w:type="dxa"/>
            <w:bottom w:w="15" w:type="dxa"/>
            <w:right w:w="15" w:type="dxa"/>
          </w:tblCellMar>
        </w:tblPrEx>
        <w:trPr>
          <w:trHeight w:val="565"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280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default" w:eastAsiaTheme="minorEastAsia"/>
                <w:lang w:val="en-US" w:eastAsia="zh-CN"/>
              </w:rPr>
            </w:pPr>
            <w:r>
              <w:rPr>
                <w:rFonts w:hint="eastAsia"/>
                <w:lang w:val="en-US" w:eastAsia="zh-CN"/>
              </w:rPr>
              <w:t>二次开发能力</w:t>
            </w:r>
          </w:p>
        </w:tc>
        <w:tc>
          <w:tcPr>
            <w:tcW w:w="607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1、具备友好地可视化二次开发能力；</w:t>
            </w:r>
          </w:p>
          <w:p>
            <w:pPr>
              <w:widowControl/>
              <w:jc w:val="left"/>
              <w:textAlignment w:val="center"/>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2、灵活地进行大屏展示页面设计，展示形式设计等；</w:t>
            </w:r>
          </w:p>
          <w:p>
            <w:pPr>
              <w:widowControl/>
              <w:jc w:val="left"/>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3、灵活地自定义新增指标、点位、图标等展示元素。</w:t>
            </w:r>
          </w:p>
        </w:tc>
      </w:tr>
    </w:tbl>
    <w:p>
      <w:pPr>
        <w:pStyle w:val="7"/>
      </w:pPr>
    </w:p>
    <w:p>
      <w:pPr>
        <w:pStyle w:val="5"/>
        <w:spacing w:before="20" w:after="20" w:line="360" w:lineRule="auto"/>
        <w:rPr>
          <w:rFonts w:ascii="Times New Roman" w:hAnsi="Times New Roman"/>
          <w:sz w:val="24"/>
          <w:szCs w:val="21"/>
        </w:rPr>
      </w:pPr>
      <w:r>
        <w:rPr>
          <w:rFonts w:hint="eastAsia" w:ascii="Times New Roman" w:hAnsi="Times New Roman"/>
          <w:sz w:val="24"/>
          <w:szCs w:val="21"/>
          <w:lang w:val="en-US" w:eastAsia="zh-CN"/>
        </w:rPr>
        <w:t>3</w:t>
      </w:r>
      <w:r>
        <w:rPr>
          <w:rFonts w:hint="eastAsia" w:ascii="Times New Roman" w:hAnsi="Times New Roman"/>
          <w:sz w:val="24"/>
          <w:szCs w:val="21"/>
        </w:rPr>
        <w:t>.2.</w:t>
      </w:r>
      <w:r>
        <w:rPr>
          <w:rFonts w:hint="eastAsia" w:ascii="Times New Roman" w:hAnsi="Times New Roman"/>
          <w:sz w:val="24"/>
          <w:szCs w:val="21"/>
          <w:lang w:val="en-US" w:eastAsia="zh-CN"/>
        </w:rPr>
        <w:t>3.</w:t>
      </w:r>
      <w:r>
        <w:rPr>
          <w:rFonts w:hint="eastAsia" w:ascii="Times New Roman" w:hAnsi="Times New Roman"/>
          <w:sz w:val="24"/>
          <w:szCs w:val="21"/>
        </w:rPr>
        <w:t>4</w:t>
      </w:r>
      <w:r>
        <w:rPr>
          <w:rFonts w:hint="eastAsia" w:ascii="Times New Roman" w:hAnsi="Times New Roman"/>
          <w:sz w:val="24"/>
          <w:szCs w:val="21"/>
          <w:lang w:val="en-US" w:eastAsia="zh-CN"/>
        </w:rPr>
        <w:t>互联互通测评要求</w:t>
      </w:r>
    </w:p>
    <w:tbl>
      <w:tblPr>
        <w:tblStyle w:val="9"/>
        <w:tblW w:w="9456" w:type="dxa"/>
        <w:tblInd w:w="0" w:type="dxa"/>
        <w:tblLayout w:type="fixed"/>
        <w:tblCellMar>
          <w:top w:w="15" w:type="dxa"/>
          <w:left w:w="15" w:type="dxa"/>
          <w:bottom w:w="15" w:type="dxa"/>
          <w:right w:w="15" w:type="dxa"/>
        </w:tblCellMar>
      </w:tblPr>
      <w:tblGrid>
        <w:gridCol w:w="602"/>
        <w:gridCol w:w="2867"/>
        <w:gridCol w:w="5987"/>
      </w:tblGrid>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tcPr>
          <w:p>
            <w:pPr>
              <w:pStyle w:val="8"/>
              <w:widowControl/>
              <w:jc w:val="center"/>
              <w:rPr>
                <w:rFonts w:ascii="宋体" w:hAnsi="宋体" w:eastAsia="宋体" w:cs="宋体"/>
                <w:color w:val="000000"/>
                <w:sz w:val="21"/>
                <w:szCs w:val="21"/>
              </w:rPr>
            </w:pPr>
            <w:r>
              <w:rPr>
                <w:rFonts w:hint="eastAsia" w:ascii="宋体" w:hAnsi="宋体" w:eastAsia="宋体" w:cs="宋体"/>
                <w:color w:val="000000"/>
                <w:sz w:val="21"/>
                <w:szCs w:val="21"/>
              </w:rPr>
              <w:t>序号</w:t>
            </w:r>
          </w:p>
        </w:tc>
        <w:tc>
          <w:tcPr>
            <w:tcW w:w="286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tcPr>
          <w:p>
            <w:pPr>
              <w:pStyle w:val="8"/>
              <w:widowControl/>
              <w:jc w:val="center"/>
              <w:rPr>
                <w:rFonts w:hint="eastAsia" w:ascii="宋体" w:hAnsi="宋体" w:eastAsia="宋体" w:cs="宋体"/>
                <w:color w:val="000000"/>
                <w:kern w:val="0"/>
                <w:sz w:val="21"/>
                <w:szCs w:val="21"/>
                <w:lang w:eastAsia="zh-CN" w:bidi="ar"/>
              </w:rPr>
            </w:pPr>
            <w:r>
              <w:rPr>
                <w:rFonts w:hint="eastAsia" w:ascii="宋体" w:hAnsi="宋体" w:eastAsia="宋体" w:cs="宋体"/>
                <w:b/>
                <w:bCs/>
                <w:color w:val="000000"/>
                <w:sz w:val="21"/>
                <w:szCs w:val="21"/>
                <w:lang w:val="en-US" w:eastAsia="zh-CN"/>
              </w:rPr>
              <w:t>测试项</w:t>
            </w:r>
          </w:p>
        </w:tc>
        <w:tc>
          <w:tcPr>
            <w:tcW w:w="598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tcPr>
          <w:p>
            <w:pPr>
              <w:pStyle w:val="8"/>
              <w:widowControl/>
              <w:jc w:val="center"/>
              <w:rPr>
                <w:rFonts w:hint="default" w:ascii="宋体" w:hAnsi="宋体" w:eastAsia="宋体" w:cs="宋体"/>
                <w:color w:val="000000"/>
                <w:kern w:val="0"/>
                <w:sz w:val="21"/>
                <w:szCs w:val="21"/>
                <w:lang w:val="en-US" w:eastAsia="zh-CN" w:bidi="ar"/>
              </w:rPr>
            </w:pPr>
            <w:r>
              <w:rPr>
                <w:rFonts w:hint="eastAsia" w:ascii="宋体" w:hAnsi="宋体" w:eastAsia="宋体" w:cs="宋体"/>
                <w:b/>
                <w:bCs/>
                <w:color w:val="000000"/>
                <w:sz w:val="21"/>
                <w:szCs w:val="21"/>
                <w:lang w:val="en-US" w:eastAsia="zh-CN"/>
              </w:rPr>
              <w:t>需求描述</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286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keepNext w:val="0"/>
              <w:keepLines w:val="0"/>
              <w:widowControl/>
              <w:suppressLineNumbers w:val="0"/>
              <w:jc w:val="left"/>
              <w:textAlignment w:val="center"/>
              <w:rPr>
                <w:rFonts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平台具备独立的电子健康档案共享文档库</w:t>
            </w:r>
          </w:p>
        </w:tc>
        <w:tc>
          <w:tcPr>
            <w:tcW w:w="598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1.有独立的电子健康档案共享文档库；</w:t>
            </w:r>
          </w:p>
          <w:p>
            <w:pPr>
              <w:keepNext w:val="0"/>
              <w:keepLines w:val="0"/>
              <w:widowControl/>
              <w:suppressLineNumbers w:val="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2.对各类电子健康档案共享文档进行统计。</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286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平台具备独立的业务文档库</w:t>
            </w:r>
          </w:p>
        </w:tc>
        <w:tc>
          <w:tcPr>
            <w:tcW w:w="598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1.有独立的临床业务文档库（内容主要是电子病历共享文档和临床业务文档）；</w:t>
            </w:r>
          </w:p>
          <w:p>
            <w:pPr>
              <w:keepNext w:val="0"/>
              <w:keepLines w:val="0"/>
              <w:widowControl/>
              <w:suppressLineNumbers w:val="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2.对各类文档进行统计。</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286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Cs w:val="21"/>
                <w:lang w:bidi="ar"/>
              </w:rPr>
              <w:t>数据脱敏配置管理</w:t>
            </w:r>
          </w:p>
        </w:tc>
        <w:tc>
          <w:tcPr>
            <w:tcW w:w="598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bottom"/>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w:t>
            </w:r>
            <w:r>
              <w:rPr>
                <w:rFonts w:hint="eastAsia" w:ascii="宋体" w:hAnsi="宋体" w:eastAsia="宋体" w:cs="宋体"/>
                <w:color w:val="000000"/>
                <w:kern w:val="0"/>
                <w:szCs w:val="21"/>
                <w:lang w:val="en-US" w:eastAsia="zh-CN" w:bidi="ar"/>
              </w:rPr>
              <w:t>支持</w:t>
            </w:r>
            <w:r>
              <w:rPr>
                <w:rFonts w:hint="eastAsia" w:ascii="宋体" w:hAnsi="宋体" w:eastAsia="宋体" w:cs="宋体"/>
                <w:color w:val="000000"/>
                <w:kern w:val="0"/>
                <w:szCs w:val="21"/>
                <w:lang w:bidi="ar"/>
              </w:rPr>
              <w:t>可视化脱敏配置</w:t>
            </w:r>
            <w:r>
              <w:rPr>
                <w:rFonts w:hint="eastAsia" w:ascii="宋体" w:hAnsi="宋体" w:eastAsia="宋体" w:cs="宋体"/>
                <w:color w:val="000000"/>
                <w:kern w:val="0"/>
                <w:szCs w:val="21"/>
                <w:lang w:eastAsia="zh-CN" w:bidi="ar"/>
              </w:rPr>
              <w:t>；</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w:t>
            </w:r>
            <w:r>
              <w:rPr>
                <w:rFonts w:hint="eastAsia" w:ascii="宋体" w:hAnsi="宋体" w:eastAsia="宋体" w:cs="宋体"/>
                <w:color w:val="000000"/>
                <w:kern w:val="0"/>
                <w:szCs w:val="21"/>
                <w:lang w:val="en-US" w:eastAsia="zh-CN" w:bidi="ar"/>
              </w:rPr>
              <w:t>支持</w:t>
            </w:r>
            <w:r>
              <w:rPr>
                <w:rFonts w:hint="eastAsia" w:ascii="宋体" w:hAnsi="宋体" w:eastAsia="宋体" w:cs="宋体"/>
                <w:color w:val="000000"/>
                <w:kern w:val="0"/>
                <w:szCs w:val="21"/>
                <w:lang w:bidi="ar"/>
              </w:rPr>
              <w:t>能选择数据项进行脱敏配置项</w:t>
            </w:r>
            <w:r>
              <w:rPr>
                <w:rFonts w:hint="eastAsia" w:ascii="宋体" w:hAnsi="宋体" w:eastAsia="宋体" w:cs="宋体"/>
                <w:color w:val="000000"/>
                <w:kern w:val="0"/>
                <w:szCs w:val="21"/>
                <w:lang w:eastAsia="zh-CN" w:bidi="ar"/>
              </w:rPr>
              <w:t>；</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3.</w:t>
            </w:r>
            <w:r>
              <w:rPr>
                <w:rFonts w:hint="eastAsia" w:ascii="宋体" w:hAnsi="宋体" w:eastAsia="宋体" w:cs="宋体"/>
                <w:color w:val="000000"/>
                <w:kern w:val="0"/>
                <w:szCs w:val="21"/>
                <w:lang w:val="en-US" w:eastAsia="zh-CN" w:bidi="ar"/>
              </w:rPr>
              <w:t>支持</w:t>
            </w:r>
            <w:r>
              <w:rPr>
                <w:rFonts w:hint="eastAsia" w:ascii="宋体" w:hAnsi="宋体" w:eastAsia="宋体" w:cs="宋体"/>
                <w:color w:val="000000"/>
                <w:kern w:val="0"/>
                <w:szCs w:val="21"/>
                <w:lang w:bidi="ar"/>
              </w:rPr>
              <w:t>脱敏方式</w:t>
            </w:r>
            <w:r>
              <w:rPr>
                <w:rFonts w:hint="eastAsia" w:ascii="宋体" w:hAnsi="宋体" w:eastAsia="宋体" w:cs="宋体"/>
                <w:color w:val="000000"/>
                <w:kern w:val="0"/>
                <w:szCs w:val="21"/>
                <w:lang w:val="en-US" w:eastAsia="zh-CN" w:bidi="ar"/>
              </w:rPr>
              <w:t>可配置；</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4.可按角色启用脱敏效果</w:t>
            </w:r>
            <w:r>
              <w:rPr>
                <w:rFonts w:hint="eastAsia" w:ascii="宋体" w:hAnsi="宋体" w:eastAsia="宋体" w:cs="宋体"/>
                <w:color w:val="000000"/>
                <w:kern w:val="0"/>
                <w:szCs w:val="21"/>
                <w:lang w:eastAsia="zh-CN" w:bidi="ar"/>
              </w:rPr>
              <w:t>；</w:t>
            </w:r>
          </w:p>
          <w:p>
            <w:pPr>
              <w:widowControl/>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Cs w:val="21"/>
                <w:lang w:bidi="ar"/>
              </w:rPr>
              <w:t>5.展示效果与配置一致</w:t>
            </w:r>
            <w:r>
              <w:rPr>
                <w:rFonts w:hint="eastAsia" w:ascii="宋体" w:hAnsi="宋体" w:eastAsia="宋体" w:cs="宋体"/>
                <w:color w:val="000000"/>
                <w:kern w:val="0"/>
                <w:szCs w:val="21"/>
                <w:lang w:eastAsia="zh-CN" w:bidi="ar"/>
              </w:rPr>
              <w:t>。</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286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keepNext w:val="0"/>
              <w:keepLines w:val="0"/>
              <w:widowControl/>
              <w:suppressLineNumbers w:val="0"/>
              <w:jc w:val="left"/>
              <w:textAlignment w:val="center"/>
              <w:rPr>
                <w:rFonts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共享文档配置与管理</w:t>
            </w:r>
          </w:p>
        </w:tc>
        <w:tc>
          <w:tcPr>
            <w:tcW w:w="598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1.查看是否通过配置方式生成共享文档；</w:t>
            </w:r>
          </w:p>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2.共享文档模板里的模块、条目、基数、元素和数据元进行新增、删除、修改后，生成的共享文档与模板一致；</w:t>
            </w:r>
          </w:p>
          <w:p>
            <w:pPr>
              <w:keepNext w:val="0"/>
              <w:keepLines w:val="0"/>
              <w:widowControl/>
              <w:suppressLineNumbers w:val="0"/>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3.共享文档管理支持对共享文档进行统计、解析、浏览、下载等功能。</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286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统一区划及医疗机构管理</w:t>
            </w:r>
          </w:p>
        </w:tc>
        <w:tc>
          <w:tcPr>
            <w:tcW w:w="598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1.划分区域各街道范围图；</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2.区域内医疗机构统一管理及展示；</w:t>
            </w:r>
          </w:p>
          <w:p>
            <w:pPr>
              <w:keepNext w:val="0"/>
              <w:keepLines w:val="0"/>
              <w:widowControl/>
              <w:suppressLineNumbers w:val="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3.管理的机构信息齐全。</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w:t>
            </w:r>
          </w:p>
        </w:tc>
        <w:tc>
          <w:tcPr>
            <w:tcW w:w="286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基础字典管理</w:t>
            </w:r>
          </w:p>
        </w:tc>
        <w:tc>
          <w:tcPr>
            <w:tcW w:w="598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1.字典分类包括：卫生机构信息管理、科室字典管理、卫生人员管理、药品字典管理、收费项目管理等；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2.提供可视化界面对各类字典能进行增加、删除、修改、查询操作，能进行发布及提供订阅服务；</w:t>
            </w:r>
          </w:p>
          <w:p>
            <w:pPr>
              <w:keepNext w:val="0"/>
              <w:keepLines w:val="0"/>
              <w:widowControl/>
              <w:suppressLineNumbers w:val="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3.平台提供字典注册、更新、查询服务。</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w:t>
            </w:r>
          </w:p>
        </w:tc>
        <w:tc>
          <w:tcPr>
            <w:tcW w:w="286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医学术语字典配置管理</w:t>
            </w:r>
          </w:p>
        </w:tc>
        <w:tc>
          <w:tcPr>
            <w:tcW w:w="598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1.提供可视化界面对医学术语进行增加、删除、修改、查询操作；</w:t>
            </w:r>
          </w:p>
          <w:p>
            <w:pPr>
              <w:keepNext w:val="0"/>
              <w:keepLines w:val="0"/>
              <w:widowControl/>
              <w:suppressLineNumbers w:val="0"/>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2.平台提供术语注册、更新、查询服务。</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w:t>
            </w:r>
          </w:p>
        </w:tc>
        <w:tc>
          <w:tcPr>
            <w:tcW w:w="286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0"/>
                <w:szCs w:val="20"/>
                <w:lang w:bidi="ar"/>
              </w:rPr>
              <w:t>统一身份认证及门户服务</w:t>
            </w:r>
          </w:p>
        </w:tc>
        <w:tc>
          <w:tcPr>
            <w:tcW w:w="598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1.提供单点登录平台。实现统一身份认证，用户登录一次能访问多个系统</w:t>
            </w:r>
            <w:r>
              <w:rPr>
                <w:rFonts w:hint="eastAsia" w:ascii="宋体" w:hAnsi="宋体" w:eastAsia="宋体" w:cs="宋体"/>
                <w:color w:val="000000"/>
                <w:kern w:val="0"/>
                <w:sz w:val="20"/>
                <w:szCs w:val="20"/>
                <w:lang w:eastAsia="zh-CN" w:bidi="ar"/>
              </w:rPr>
              <w:t>；</w:t>
            </w:r>
          </w:p>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2.针对居民、医生各自实现移动统一应用门户，支持应用的管理、上架等功能；</w:t>
            </w:r>
          </w:p>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3.支持基于用户标签的智能应用推荐；</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0"/>
                <w:szCs w:val="20"/>
                <w:lang w:val="en-US" w:eastAsia="zh-CN" w:bidi="ar"/>
              </w:rPr>
              <w:t>4</w:t>
            </w:r>
            <w:r>
              <w:rPr>
                <w:rFonts w:hint="eastAsia" w:ascii="宋体" w:hAnsi="宋体" w:eastAsia="宋体" w:cs="宋体"/>
                <w:color w:val="000000"/>
                <w:kern w:val="0"/>
                <w:sz w:val="20"/>
                <w:szCs w:val="20"/>
                <w:lang w:bidi="ar"/>
              </w:rPr>
              <w:t>.安全审计功能：登录日志、操作日志、权限日志等。</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9</w:t>
            </w:r>
          </w:p>
        </w:tc>
        <w:tc>
          <w:tcPr>
            <w:tcW w:w="286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0"/>
                <w:szCs w:val="20"/>
                <w:lang w:bidi="ar"/>
              </w:rPr>
              <w:t>健康档案主索引管理</w:t>
            </w:r>
          </w:p>
        </w:tc>
        <w:tc>
          <w:tcPr>
            <w:tcW w:w="598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bottom"/>
          </w:tcPr>
          <w:p>
            <w:pPr>
              <w:widowControl/>
              <w:numPr>
                <w:ilvl w:val="0"/>
                <w:numId w:val="8"/>
              </w:numPr>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可对居民基本信息的权重分进行配置和管理；</w:t>
            </w:r>
          </w:p>
          <w:p>
            <w:pPr>
              <w:widowControl/>
              <w:numPr>
                <w:ilvl w:val="0"/>
                <w:numId w:val="8"/>
              </w:numPr>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居民主索引可自动合并和手工合并与拆分；</w:t>
            </w:r>
          </w:p>
          <w:p>
            <w:pPr>
              <w:widowControl/>
              <w:numPr>
                <w:ilvl w:val="0"/>
                <w:numId w:val="8"/>
              </w:numPr>
              <w:ind w:left="0" w:leftChars="0" w:firstLine="0" w:firstLineChars="0"/>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健康档案主索引能根据居民主索引同步合并或拆分；</w:t>
            </w:r>
          </w:p>
          <w:p>
            <w:pPr>
              <w:widowControl/>
              <w:numPr>
                <w:ilvl w:val="0"/>
                <w:numId w:val="8"/>
              </w:numPr>
              <w:ind w:left="0" w:leftChars="0" w:firstLine="0" w:firstLineChars="0"/>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合并或拆分主索引，居民相应的诊疗记录、公卫服务等也同时合并或拆分。</w:t>
            </w:r>
          </w:p>
        </w:tc>
      </w:tr>
    </w:tbl>
    <w:p/>
    <w:p>
      <w:pPr>
        <w:pStyle w:val="4"/>
        <w:spacing w:before="20" w:after="20" w:line="360" w:lineRule="auto"/>
        <w:rPr>
          <w:rFonts w:hint="eastAsia" w:ascii="Times New Roman" w:hAnsi="Times New Roman"/>
          <w:sz w:val="24"/>
          <w:szCs w:val="21"/>
          <w:lang w:val="en-US" w:eastAsia="zh-CN"/>
        </w:rPr>
      </w:pPr>
      <w:r>
        <w:rPr>
          <w:rFonts w:hint="eastAsia" w:ascii="Times New Roman" w:hAnsi="Times New Roman"/>
          <w:sz w:val="24"/>
          <w:szCs w:val="21"/>
          <w:lang w:val="en-US" w:eastAsia="zh-CN"/>
        </w:rPr>
        <w:t>3.2.4公共卫生业务应用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1123"/>
        <w:gridCol w:w="1418"/>
        <w:gridCol w:w="2283"/>
        <w:gridCol w:w="3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jc w:val="center"/>
              <w:rPr>
                <w:b/>
                <w:bCs/>
                <w:szCs w:val="21"/>
              </w:rPr>
            </w:pPr>
            <w:r>
              <w:rPr>
                <w:rFonts w:hint="eastAsia"/>
                <w:b/>
                <w:bCs/>
                <w:szCs w:val="21"/>
              </w:rPr>
              <w:t>序号</w:t>
            </w:r>
          </w:p>
        </w:tc>
        <w:tc>
          <w:tcPr>
            <w:tcW w:w="1123" w:type="dxa"/>
          </w:tcPr>
          <w:p>
            <w:pPr>
              <w:jc w:val="center"/>
              <w:rPr>
                <w:rFonts w:hint="eastAsia" w:eastAsiaTheme="minorEastAsia"/>
                <w:b/>
                <w:bCs/>
                <w:szCs w:val="21"/>
                <w:lang w:eastAsia="zh-CN"/>
              </w:rPr>
            </w:pPr>
            <w:r>
              <w:rPr>
                <w:rFonts w:hint="eastAsia"/>
                <w:b/>
                <w:bCs/>
                <w:szCs w:val="21"/>
                <w:lang w:val="en-US" w:eastAsia="zh-CN"/>
              </w:rPr>
              <w:t>测评项</w:t>
            </w:r>
          </w:p>
        </w:tc>
        <w:tc>
          <w:tcPr>
            <w:tcW w:w="1418" w:type="dxa"/>
          </w:tcPr>
          <w:p>
            <w:pPr>
              <w:jc w:val="center"/>
              <w:rPr>
                <w:b/>
                <w:bCs/>
                <w:szCs w:val="21"/>
              </w:rPr>
            </w:pPr>
            <w:r>
              <w:rPr>
                <w:rFonts w:hint="eastAsia"/>
                <w:b/>
                <w:bCs/>
                <w:szCs w:val="21"/>
              </w:rPr>
              <w:t>业务</w:t>
            </w:r>
          </w:p>
        </w:tc>
        <w:tc>
          <w:tcPr>
            <w:tcW w:w="2283" w:type="dxa"/>
          </w:tcPr>
          <w:p>
            <w:pPr>
              <w:jc w:val="center"/>
              <w:rPr>
                <w:b/>
                <w:bCs/>
                <w:szCs w:val="21"/>
              </w:rPr>
            </w:pPr>
            <w:r>
              <w:rPr>
                <w:rFonts w:hint="eastAsia"/>
                <w:b/>
                <w:bCs/>
                <w:szCs w:val="21"/>
              </w:rPr>
              <w:t>对应功能</w:t>
            </w:r>
          </w:p>
        </w:tc>
        <w:tc>
          <w:tcPr>
            <w:tcW w:w="3968" w:type="dxa"/>
          </w:tcPr>
          <w:p>
            <w:pPr>
              <w:jc w:val="center"/>
              <w:rPr>
                <w:rFonts w:hint="default" w:eastAsiaTheme="minorEastAsia"/>
                <w:b/>
                <w:bCs/>
                <w:szCs w:val="21"/>
                <w:lang w:val="en-US" w:eastAsia="zh-CN"/>
              </w:rPr>
            </w:pPr>
            <w:r>
              <w:rPr>
                <w:rFonts w:hint="eastAsia"/>
                <w:b/>
                <w:bCs/>
                <w:szCs w:val="21"/>
                <w:lang w:val="en-US" w:eastAsia="zh-CN"/>
              </w:rPr>
              <w:t>需求描述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szCs w:val="21"/>
              </w:rPr>
            </w:pPr>
            <w:r>
              <w:rPr>
                <w:rFonts w:hint="eastAsia"/>
                <w:szCs w:val="21"/>
              </w:rPr>
              <w:t>1</w:t>
            </w:r>
          </w:p>
        </w:tc>
        <w:tc>
          <w:tcPr>
            <w:tcW w:w="1123" w:type="dxa"/>
            <w:vMerge w:val="restart"/>
            <w:vAlign w:val="center"/>
          </w:tcPr>
          <w:p>
            <w:pPr>
              <w:widowControl/>
              <w:textAlignment w:val="center"/>
              <w:rPr>
                <w:szCs w:val="21"/>
              </w:rPr>
            </w:pPr>
            <w:r>
              <w:rPr>
                <w:rFonts w:hint="eastAsia" w:ascii="宋体" w:hAnsi="宋体" w:eastAsia="宋体" w:cs="宋体"/>
                <w:color w:val="000000"/>
                <w:kern w:val="0"/>
                <w:szCs w:val="21"/>
                <w:lang w:bidi="ar"/>
              </w:rPr>
              <w:t>医院社康协同能力评价</w:t>
            </w:r>
          </w:p>
        </w:tc>
        <w:tc>
          <w:tcPr>
            <w:tcW w:w="1418" w:type="dxa"/>
            <w:vAlign w:val="center"/>
          </w:tcPr>
          <w:p>
            <w:pPr>
              <w:rPr>
                <w:szCs w:val="21"/>
              </w:rPr>
            </w:pPr>
            <w:r>
              <w:rPr>
                <w:rFonts w:hint="eastAsia"/>
                <w:szCs w:val="21"/>
              </w:rPr>
              <w:t>患者</w:t>
            </w:r>
            <w:r>
              <w:rPr>
                <w:rFonts w:hint="eastAsia"/>
                <w:szCs w:val="21"/>
                <w:lang w:val="en-US" w:eastAsia="zh-CN"/>
              </w:rPr>
              <w:t>预</w:t>
            </w:r>
            <w:r>
              <w:rPr>
                <w:rFonts w:hint="eastAsia"/>
                <w:szCs w:val="21"/>
              </w:rPr>
              <w:t>建案</w:t>
            </w:r>
          </w:p>
        </w:tc>
        <w:tc>
          <w:tcPr>
            <w:tcW w:w="2283" w:type="dxa"/>
            <w:vAlign w:val="center"/>
          </w:tcPr>
          <w:p>
            <w:pPr>
              <w:rPr>
                <w:szCs w:val="21"/>
              </w:rPr>
            </w:pPr>
            <w:r>
              <w:rPr>
                <w:rFonts w:hint="eastAsia"/>
                <w:szCs w:val="21"/>
              </w:rPr>
              <w:t>患者自动建档</w:t>
            </w:r>
          </w:p>
        </w:tc>
        <w:tc>
          <w:tcPr>
            <w:tcW w:w="3968" w:type="dxa"/>
            <w:vAlign w:val="center"/>
          </w:tcPr>
          <w:p>
            <w:pPr>
              <w:rPr>
                <w:rFonts w:hint="default" w:eastAsiaTheme="minorEastAsia"/>
                <w:szCs w:val="21"/>
                <w:lang w:val="en-US" w:eastAsia="zh-CN"/>
              </w:rPr>
            </w:pPr>
            <w:r>
              <w:rPr>
                <w:rFonts w:hint="eastAsia"/>
                <w:szCs w:val="21"/>
              </w:rPr>
              <w:t>可</w:t>
            </w:r>
            <w:r>
              <w:rPr>
                <w:rFonts w:hint="eastAsia"/>
                <w:szCs w:val="21"/>
                <w:lang w:val="en-US" w:eastAsia="zh-CN"/>
              </w:rPr>
              <w:t>自动</w:t>
            </w:r>
            <w:r>
              <w:rPr>
                <w:rFonts w:hint="eastAsia"/>
                <w:szCs w:val="21"/>
              </w:rPr>
              <w:t>导入患者基本信息</w:t>
            </w:r>
            <w:r>
              <w:rPr>
                <w:rFonts w:hint="eastAsia"/>
                <w:szCs w:val="21"/>
                <w:lang w:val="en-US" w:eastAsia="zh-CN"/>
              </w:rPr>
              <w:t>进行预建档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szCs w:val="21"/>
              </w:rPr>
            </w:pPr>
            <w:r>
              <w:rPr>
                <w:rFonts w:hint="eastAsia"/>
                <w:szCs w:val="21"/>
              </w:rPr>
              <w:t>2</w:t>
            </w:r>
          </w:p>
        </w:tc>
        <w:tc>
          <w:tcPr>
            <w:tcW w:w="1123" w:type="dxa"/>
            <w:vMerge w:val="continue"/>
            <w:vAlign w:val="center"/>
          </w:tcPr>
          <w:p>
            <w:pPr>
              <w:rPr>
                <w:szCs w:val="21"/>
              </w:rPr>
            </w:pPr>
          </w:p>
        </w:tc>
        <w:tc>
          <w:tcPr>
            <w:tcW w:w="1418" w:type="dxa"/>
            <w:vAlign w:val="center"/>
          </w:tcPr>
          <w:p>
            <w:pPr>
              <w:rPr>
                <w:szCs w:val="21"/>
              </w:rPr>
            </w:pPr>
            <w:r>
              <w:rPr>
                <w:rFonts w:hint="eastAsia"/>
                <w:szCs w:val="21"/>
              </w:rPr>
              <w:t>传染病管理</w:t>
            </w:r>
          </w:p>
        </w:tc>
        <w:tc>
          <w:tcPr>
            <w:tcW w:w="2283" w:type="dxa"/>
            <w:vAlign w:val="center"/>
          </w:tcPr>
          <w:p>
            <w:pPr>
              <w:rPr>
                <w:szCs w:val="21"/>
              </w:rPr>
            </w:pPr>
            <w:r>
              <w:rPr>
                <w:rFonts w:hint="eastAsia"/>
                <w:szCs w:val="21"/>
              </w:rPr>
              <w:t>甲乙类传染病报告</w:t>
            </w:r>
          </w:p>
        </w:tc>
        <w:tc>
          <w:tcPr>
            <w:tcW w:w="3968" w:type="dxa"/>
            <w:vAlign w:val="center"/>
          </w:tcPr>
          <w:p>
            <w:pPr>
              <w:rPr>
                <w:szCs w:val="21"/>
              </w:rPr>
            </w:pPr>
            <w:r>
              <w:rPr>
                <w:rFonts w:hint="eastAsia"/>
                <w:szCs w:val="21"/>
              </w:rPr>
              <w:t>根据诊断提示相应报告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szCs w:val="21"/>
              </w:rPr>
            </w:pPr>
            <w:r>
              <w:rPr>
                <w:rFonts w:hint="eastAsia"/>
                <w:szCs w:val="21"/>
              </w:rPr>
              <w:t>3</w:t>
            </w:r>
          </w:p>
        </w:tc>
        <w:tc>
          <w:tcPr>
            <w:tcW w:w="1123" w:type="dxa"/>
            <w:vMerge w:val="continue"/>
            <w:vAlign w:val="center"/>
          </w:tcPr>
          <w:p>
            <w:pPr>
              <w:rPr>
                <w:szCs w:val="21"/>
              </w:rPr>
            </w:pPr>
          </w:p>
        </w:tc>
        <w:tc>
          <w:tcPr>
            <w:tcW w:w="1418" w:type="dxa"/>
            <w:vMerge w:val="restart"/>
            <w:vAlign w:val="center"/>
          </w:tcPr>
          <w:p>
            <w:pPr>
              <w:rPr>
                <w:szCs w:val="21"/>
              </w:rPr>
            </w:pPr>
            <w:r>
              <w:rPr>
                <w:rFonts w:hint="eastAsia"/>
                <w:szCs w:val="21"/>
              </w:rPr>
              <w:t>慢病管理</w:t>
            </w:r>
          </w:p>
        </w:tc>
        <w:tc>
          <w:tcPr>
            <w:tcW w:w="2283" w:type="dxa"/>
            <w:vAlign w:val="center"/>
          </w:tcPr>
          <w:p>
            <w:pPr>
              <w:rPr>
                <w:szCs w:val="21"/>
              </w:rPr>
            </w:pPr>
            <w:r>
              <w:rPr>
                <w:rFonts w:hint="eastAsia"/>
                <w:szCs w:val="21"/>
              </w:rPr>
              <w:t>高、糖、肿瘤、脑卒等慢病报告</w:t>
            </w:r>
          </w:p>
        </w:tc>
        <w:tc>
          <w:tcPr>
            <w:tcW w:w="3968" w:type="dxa"/>
            <w:vAlign w:val="center"/>
          </w:tcPr>
          <w:p>
            <w:pPr>
              <w:rPr>
                <w:szCs w:val="21"/>
              </w:rPr>
            </w:pPr>
            <w:r>
              <w:rPr>
                <w:rFonts w:hint="eastAsia"/>
                <w:szCs w:val="21"/>
              </w:rPr>
              <w:t>根据患者情况自动提示报告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szCs w:val="21"/>
              </w:rPr>
            </w:pPr>
            <w:r>
              <w:rPr>
                <w:rFonts w:hint="eastAsia"/>
                <w:szCs w:val="21"/>
              </w:rPr>
              <w:t>4</w:t>
            </w:r>
          </w:p>
        </w:tc>
        <w:tc>
          <w:tcPr>
            <w:tcW w:w="1123" w:type="dxa"/>
            <w:vMerge w:val="continue"/>
            <w:vAlign w:val="center"/>
          </w:tcPr>
          <w:p>
            <w:pPr>
              <w:rPr>
                <w:szCs w:val="21"/>
              </w:rPr>
            </w:pPr>
          </w:p>
        </w:tc>
        <w:tc>
          <w:tcPr>
            <w:tcW w:w="1418" w:type="dxa"/>
            <w:vMerge w:val="continue"/>
            <w:vAlign w:val="center"/>
          </w:tcPr>
          <w:p>
            <w:pPr>
              <w:rPr>
                <w:szCs w:val="21"/>
              </w:rPr>
            </w:pPr>
          </w:p>
        </w:tc>
        <w:tc>
          <w:tcPr>
            <w:tcW w:w="2283" w:type="dxa"/>
            <w:vAlign w:val="center"/>
          </w:tcPr>
          <w:p>
            <w:pPr>
              <w:rPr>
                <w:szCs w:val="21"/>
              </w:rPr>
            </w:pPr>
            <w:r>
              <w:rPr>
                <w:rFonts w:hint="eastAsia"/>
                <w:szCs w:val="21"/>
              </w:rPr>
              <w:t>高、糖、肿瘤、脑卒等慢病报告</w:t>
            </w:r>
          </w:p>
        </w:tc>
        <w:tc>
          <w:tcPr>
            <w:tcW w:w="3968" w:type="dxa"/>
            <w:vAlign w:val="center"/>
          </w:tcPr>
          <w:p>
            <w:pPr>
              <w:rPr>
                <w:szCs w:val="21"/>
              </w:rPr>
            </w:pPr>
            <w:r>
              <w:rPr>
                <w:rFonts w:hint="eastAsia"/>
                <w:szCs w:val="21"/>
              </w:rPr>
              <w:t>根据患者健康指标给出高危患者提示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szCs w:val="21"/>
              </w:rPr>
            </w:pPr>
            <w:r>
              <w:rPr>
                <w:rFonts w:hint="eastAsia"/>
                <w:szCs w:val="21"/>
              </w:rPr>
              <w:t>5</w:t>
            </w:r>
          </w:p>
        </w:tc>
        <w:tc>
          <w:tcPr>
            <w:tcW w:w="1123" w:type="dxa"/>
            <w:vMerge w:val="continue"/>
            <w:vAlign w:val="center"/>
          </w:tcPr>
          <w:p>
            <w:pPr>
              <w:rPr>
                <w:szCs w:val="21"/>
              </w:rPr>
            </w:pPr>
          </w:p>
        </w:tc>
        <w:tc>
          <w:tcPr>
            <w:tcW w:w="1418" w:type="dxa"/>
            <w:vMerge w:val="continue"/>
            <w:vAlign w:val="center"/>
          </w:tcPr>
          <w:p>
            <w:pPr>
              <w:rPr>
                <w:szCs w:val="21"/>
              </w:rPr>
            </w:pPr>
          </w:p>
        </w:tc>
        <w:tc>
          <w:tcPr>
            <w:tcW w:w="2283" w:type="dxa"/>
            <w:vAlign w:val="center"/>
          </w:tcPr>
          <w:p>
            <w:pPr>
              <w:rPr>
                <w:rFonts w:hint="eastAsia" w:eastAsiaTheme="minorEastAsia"/>
                <w:szCs w:val="21"/>
                <w:lang w:val="en-US" w:eastAsia="zh-CN"/>
              </w:rPr>
            </w:pPr>
            <w:r>
              <w:rPr>
                <w:rFonts w:hint="eastAsia"/>
                <w:szCs w:val="21"/>
              </w:rPr>
              <w:t>重点患者随访</w:t>
            </w:r>
            <w:r>
              <w:rPr>
                <w:rFonts w:hint="eastAsia"/>
                <w:szCs w:val="21"/>
                <w:lang w:val="en-US" w:eastAsia="zh-CN"/>
              </w:rPr>
              <w:t>提醒</w:t>
            </w:r>
          </w:p>
        </w:tc>
        <w:tc>
          <w:tcPr>
            <w:tcW w:w="3968" w:type="dxa"/>
            <w:vAlign w:val="center"/>
          </w:tcPr>
          <w:p>
            <w:pPr>
              <w:numPr>
                <w:ilvl w:val="0"/>
                <w:numId w:val="0"/>
              </w:numPr>
              <w:rPr>
                <w:rFonts w:hint="eastAsia"/>
                <w:szCs w:val="21"/>
              </w:rPr>
            </w:pPr>
            <w:r>
              <w:rPr>
                <w:rFonts w:hint="eastAsia"/>
                <w:szCs w:val="21"/>
              </w:rPr>
              <w:t>患者就诊在随访周期内提示随访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rFonts w:hint="eastAsia"/>
                <w:szCs w:val="21"/>
              </w:rPr>
            </w:pPr>
          </w:p>
        </w:tc>
        <w:tc>
          <w:tcPr>
            <w:tcW w:w="1123" w:type="dxa"/>
            <w:vMerge w:val="continue"/>
            <w:vAlign w:val="center"/>
          </w:tcPr>
          <w:p>
            <w:pPr>
              <w:rPr>
                <w:szCs w:val="21"/>
              </w:rPr>
            </w:pPr>
          </w:p>
        </w:tc>
        <w:tc>
          <w:tcPr>
            <w:tcW w:w="1418" w:type="dxa"/>
            <w:vAlign w:val="center"/>
          </w:tcPr>
          <w:p>
            <w:pPr>
              <w:rPr>
                <w:rFonts w:hint="default" w:eastAsiaTheme="minorEastAsia"/>
                <w:szCs w:val="21"/>
                <w:lang w:val="en-US" w:eastAsia="zh-CN"/>
              </w:rPr>
            </w:pPr>
            <w:r>
              <w:rPr>
                <w:rFonts w:hint="eastAsia"/>
                <w:szCs w:val="21"/>
                <w:lang w:val="en-US" w:eastAsia="zh-CN"/>
              </w:rPr>
              <w:t>多病共管</w:t>
            </w:r>
          </w:p>
        </w:tc>
        <w:tc>
          <w:tcPr>
            <w:tcW w:w="2283" w:type="dxa"/>
            <w:vAlign w:val="center"/>
          </w:tcPr>
          <w:p>
            <w:pPr>
              <w:rPr>
                <w:rFonts w:hint="default" w:eastAsiaTheme="minorEastAsia"/>
                <w:szCs w:val="21"/>
                <w:lang w:val="en-US" w:eastAsia="zh-CN"/>
              </w:rPr>
            </w:pPr>
            <w:r>
              <w:rPr>
                <w:rFonts w:hint="eastAsia"/>
                <w:szCs w:val="21"/>
                <w:lang w:val="en-US" w:eastAsia="zh-CN"/>
              </w:rPr>
              <w:t>多病共管</w:t>
            </w:r>
          </w:p>
        </w:tc>
        <w:tc>
          <w:tcPr>
            <w:tcW w:w="3968" w:type="dxa"/>
            <w:vAlign w:val="center"/>
          </w:tcPr>
          <w:p>
            <w:pPr>
              <w:numPr>
                <w:ilvl w:val="0"/>
                <w:numId w:val="0"/>
              </w:numPr>
              <w:rPr>
                <w:rFonts w:hint="default" w:eastAsiaTheme="minorEastAsia"/>
                <w:szCs w:val="21"/>
                <w:lang w:val="en-US" w:eastAsia="zh-CN"/>
              </w:rPr>
            </w:pPr>
            <w:r>
              <w:rPr>
                <w:rFonts w:hint="eastAsia"/>
                <w:szCs w:val="21"/>
                <w:lang w:val="en-US" w:eastAsia="zh-CN"/>
              </w:rPr>
              <w:t>以人为中心，实现跨病种数据融合，实现随访等公共卫生服务跨病种统一管理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szCs w:val="21"/>
              </w:rPr>
            </w:pPr>
            <w:r>
              <w:rPr>
                <w:rFonts w:hint="eastAsia"/>
                <w:szCs w:val="21"/>
              </w:rPr>
              <w:t>6</w:t>
            </w:r>
          </w:p>
        </w:tc>
        <w:tc>
          <w:tcPr>
            <w:tcW w:w="1123" w:type="dxa"/>
            <w:vMerge w:val="restart"/>
            <w:vAlign w:val="center"/>
          </w:tcPr>
          <w:p>
            <w:pPr>
              <w:rPr>
                <w:szCs w:val="21"/>
              </w:rPr>
            </w:pPr>
            <w:r>
              <w:rPr>
                <w:rFonts w:hint="eastAsia"/>
                <w:szCs w:val="21"/>
              </w:rPr>
              <w:t>医生工作便捷性评价</w:t>
            </w:r>
          </w:p>
        </w:tc>
        <w:tc>
          <w:tcPr>
            <w:tcW w:w="1418" w:type="dxa"/>
            <w:vAlign w:val="center"/>
          </w:tcPr>
          <w:p>
            <w:pPr>
              <w:rPr>
                <w:szCs w:val="21"/>
              </w:rPr>
            </w:pPr>
            <w:r>
              <w:rPr>
                <w:rFonts w:hint="eastAsia"/>
                <w:szCs w:val="21"/>
              </w:rPr>
              <w:t>患者管理</w:t>
            </w:r>
          </w:p>
        </w:tc>
        <w:tc>
          <w:tcPr>
            <w:tcW w:w="2283" w:type="dxa"/>
            <w:vAlign w:val="center"/>
          </w:tcPr>
          <w:p>
            <w:pPr>
              <w:rPr>
                <w:szCs w:val="21"/>
              </w:rPr>
            </w:pPr>
            <w:r>
              <w:rPr>
                <w:rFonts w:hint="eastAsia"/>
                <w:szCs w:val="21"/>
              </w:rPr>
              <w:t>新发患者提醒</w:t>
            </w:r>
          </w:p>
        </w:tc>
        <w:tc>
          <w:tcPr>
            <w:tcW w:w="3968" w:type="dxa"/>
            <w:vAlign w:val="center"/>
          </w:tcPr>
          <w:p>
            <w:pPr>
              <w:rPr>
                <w:szCs w:val="21"/>
              </w:rPr>
            </w:pPr>
            <w:r>
              <w:rPr>
                <w:rFonts w:hint="eastAsia"/>
                <w:szCs w:val="21"/>
              </w:rPr>
              <w:t>综合医院确诊患者社康推送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szCs w:val="21"/>
              </w:rPr>
            </w:pPr>
            <w:r>
              <w:rPr>
                <w:rFonts w:hint="eastAsia"/>
                <w:szCs w:val="21"/>
              </w:rPr>
              <w:t>7</w:t>
            </w:r>
          </w:p>
        </w:tc>
        <w:tc>
          <w:tcPr>
            <w:tcW w:w="1123" w:type="dxa"/>
            <w:vMerge w:val="continue"/>
            <w:vAlign w:val="center"/>
          </w:tcPr>
          <w:p>
            <w:pPr>
              <w:rPr>
                <w:szCs w:val="21"/>
              </w:rPr>
            </w:pPr>
          </w:p>
        </w:tc>
        <w:tc>
          <w:tcPr>
            <w:tcW w:w="1418" w:type="dxa"/>
            <w:vAlign w:val="center"/>
          </w:tcPr>
          <w:p>
            <w:pPr>
              <w:rPr>
                <w:szCs w:val="21"/>
              </w:rPr>
            </w:pPr>
            <w:r>
              <w:rPr>
                <w:rFonts w:hint="eastAsia"/>
                <w:szCs w:val="21"/>
              </w:rPr>
              <w:t>随访管理</w:t>
            </w:r>
          </w:p>
        </w:tc>
        <w:tc>
          <w:tcPr>
            <w:tcW w:w="2283" w:type="dxa"/>
            <w:vAlign w:val="center"/>
          </w:tcPr>
          <w:p>
            <w:pPr>
              <w:rPr>
                <w:szCs w:val="21"/>
              </w:rPr>
            </w:pPr>
            <w:r>
              <w:rPr>
                <w:rFonts w:hint="eastAsia"/>
                <w:szCs w:val="21"/>
              </w:rPr>
              <w:t>在册患者随访周期提醒</w:t>
            </w:r>
          </w:p>
        </w:tc>
        <w:tc>
          <w:tcPr>
            <w:tcW w:w="3968" w:type="dxa"/>
            <w:vAlign w:val="center"/>
          </w:tcPr>
          <w:p>
            <w:pPr>
              <w:rPr>
                <w:szCs w:val="21"/>
              </w:rPr>
            </w:pPr>
            <w:r>
              <w:rPr>
                <w:rFonts w:hint="eastAsia"/>
                <w:szCs w:val="21"/>
              </w:rPr>
              <w:t>系统可根据随访要求动态调整随访周期并实时提醒医生在册患者随访时效性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szCs w:val="21"/>
              </w:rPr>
            </w:pPr>
            <w:r>
              <w:rPr>
                <w:rFonts w:hint="eastAsia"/>
                <w:szCs w:val="21"/>
              </w:rPr>
              <w:t>8</w:t>
            </w:r>
          </w:p>
        </w:tc>
        <w:tc>
          <w:tcPr>
            <w:tcW w:w="1123" w:type="dxa"/>
            <w:vMerge w:val="continue"/>
            <w:vAlign w:val="center"/>
          </w:tcPr>
          <w:p>
            <w:pPr>
              <w:rPr>
                <w:szCs w:val="21"/>
              </w:rPr>
            </w:pPr>
          </w:p>
        </w:tc>
        <w:tc>
          <w:tcPr>
            <w:tcW w:w="1418" w:type="dxa"/>
            <w:vAlign w:val="center"/>
          </w:tcPr>
          <w:p>
            <w:pPr>
              <w:rPr>
                <w:szCs w:val="21"/>
              </w:rPr>
            </w:pPr>
            <w:r>
              <w:rPr>
                <w:rFonts w:hint="eastAsia"/>
                <w:szCs w:val="21"/>
              </w:rPr>
              <w:t>报告信息共享</w:t>
            </w:r>
          </w:p>
        </w:tc>
        <w:tc>
          <w:tcPr>
            <w:tcW w:w="2283" w:type="dxa"/>
            <w:vAlign w:val="center"/>
          </w:tcPr>
          <w:p>
            <w:pPr>
              <w:rPr>
                <w:szCs w:val="21"/>
              </w:rPr>
            </w:pPr>
            <w:r>
              <w:rPr>
                <w:rFonts w:hint="eastAsia"/>
                <w:szCs w:val="21"/>
              </w:rPr>
              <w:t>各类信息填报</w:t>
            </w:r>
          </w:p>
        </w:tc>
        <w:tc>
          <w:tcPr>
            <w:tcW w:w="3968" w:type="dxa"/>
            <w:vAlign w:val="center"/>
          </w:tcPr>
          <w:p>
            <w:pPr>
              <w:rPr>
                <w:szCs w:val="21"/>
              </w:rPr>
            </w:pPr>
            <w:r>
              <w:rPr>
                <w:rFonts w:hint="eastAsia"/>
                <w:szCs w:val="21"/>
              </w:rPr>
              <w:t>支持医生各类报告过程中的信息数据共享补充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szCs w:val="21"/>
              </w:rPr>
            </w:pPr>
            <w:r>
              <w:rPr>
                <w:rFonts w:hint="eastAsia"/>
                <w:szCs w:val="21"/>
              </w:rPr>
              <w:t>9</w:t>
            </w:r>
          </w:p>
        </w:tc>
        <w:tc>
          <w:tcPr>
            <w:tcW w:w="1123" w:type="dxa"/>
            <w:vMerge w:val="continue"/>
            <w:vAlign w:val="center"/>
          </w:tcPr>
          <w:p>
            <w:pPr>
              <w:rPr>
                <w:szCs w:val="21"/>
              </w:rPr>
            </w:pPr>
          </w:p>
        </w:tc>
        <w:tc>
          <w:tcPr>
            <w:tcW w:w="1418" w:type="dxa"/>
            <w:vAlign w:val="center"/>
          </w:tcPr>
          <w:p>
            <w:pPr>
              <w:rPr>
                <w:szCs w:val="21"/>
              </w:rPr>
            </w:pPr>
            <w:r>
              <w:rPr>
                <w:rFonts w:hint="eastAsia"/>
                <w:szCs w:val="21"/>
              </w:rPr>
              <w:t>LIMS信息对接</w:t>
            </w:r>
          </w:p>
        </w:tc>
        <w:tc>
          <w:tcPr>
            <w:tcW w:w="2283" w:type="dxa"/>
            <w:vAlign w:val="center"/>
          </w:tcPr>
          <w:p>
            <w:pPr>
              <w:rPr>
                <w:szCs w:val="21"/>
              </w:rPr>
            </w:pPr>
            <w:r>
              <w:rPr>
                <w:rFonts w:hint="eastAsia"/>
                <w:szCs w:val="21"/>
              </w:rPr>
              <w:t>医院疾病报告</w:t>
            </w:r>
          </w:p>
        </w:tc>
        <w:tc>
          <w:tcPr>
            <w:tcW w:w="3968" w:type="dxa"/>
            <w:vAlign w:val="center"/>
          </w:tcPr>
          <w:p>
            <w:pPr>
              <w:rPr>
                <w:szCs w:val="21"/>
              </w:rPr>
            </w:pPr>
            <w:r>
              <w:rPr>
                <w:rFonts w:hint="eastAsia"/>
                <w:szCs w:val="21"/>
              </w:rPr>
              <w:t>可实现患者报告时，自动填充患者LIMS的数据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szCs w:val="21"/>
              </w:rPr>
            </w:pPr>
            <w:r>
              <w:rPr>
                <w:rFonts w:hint="eastAsia"/>
                <w:szCs w:val="21"/>
              </w:rPr>
              <w:t>1</w:t>
            </w:r>
            <w:r>
              <w:rPr>
                <w:szCs w:val="21"/>
              </w:rPr>
              <w:t>0</w:t>
            </w:r>
          </w:p>
        </w:tc>
        <w:tc>
          <w:tcPr>
            <w:tcW w:w="1123" w:type="dxa"/>
            <w:vMerge w:val="continue"/>
            <w:vAlign w:val="center"/>
          </w:tcPr>
          <w:p>
            <w:pPr>
              <w:rPr>
                <w:szCs w:val="21"/>
              </w:rPr>
            </w:pPr>
          </w:p>
        </w:tc>
        <w:tc>
          <w:tcPr>
            <w:tcW w:w="1418" w:type="dxa"/>
            <w:vAlign w:val="center"/>
          </w:tcPr>
          <w:p>
            <w:pPr>
              <w:rPr>
                <w:szCs w:val="21"/>
              </w:rPr>
            </w:pPr>
            <w:r>
              <w:rPr>
                <w:rFonts w:hint="eastAsia"/>
                <w:szCs w:val="21"/>
              </w:rPr>
              <w:t>疾病漏筛查</w:t>
            </w:r>
          </w:p>
        </w:tc>
        <w:tc>
          <w:tcPr>
            <w:tcW w:w="2283" w:type="dxa"/>
            <w:vAlign w:val="center"/>
          </w:tcPr>
          <w:p>
            <w:pPr>
              <w:rPr>
                <w:szCs w:val="21"/>
              </w:rPr>
            </w:pPr>
            <w:r>
              <w:rPr>
                <w:rFonts w:hint="eastAsia"/>
                <w:szCs w:val="21"/>
              </w:rPr>
              <w:t>通过电子病历数据提醒漏报</w:t>
            </w:r>
          </w:p>
        </w:tc>
        <w:tc>
          <w:tcPr>
            <w:tcW w:w="3968" w:type="dxa"/>
            <w:vAlign w:val="center"/>
          </w:tcPr>
          <w:p>
            <w:pPr>
              <w:rPr>
                <w:szCs w:val="21"/>
              </w:rPr>
            </w:pPr>
            <w:r>
              <w:rPr>
                <w:rFonts w:hint="eastAsia"/>
                <w:szCs w:val="21"/>
              </w:rPr>
              <w:t>可通过电子病历数据自动筛选漏报患者，并提醒医生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szCs w:val="21"/>
              </w:rPr>
            </w:pPr>
            <w:r>
              <w:rPr>
                <w:rFonts w:hint="eastAsia"/>
                <w:szCs w:val="21"/>
              </w:rPr>
              <w:t>1</w:t>
            </w:r>
            <w:r>
              <w:rPr>
                <w:szCs w:val="21"/>
              </w:rPr>
              <w:t>1</w:t>
            </w:r>
          </w:p>
        </w:tc>
        <w:tc>
          <w:tcPr>
            <w:tcW w:w="1123" w:type="dxa"/>
            <w:vMerge w:val="restart"/>
            <w:vAlign w:val="center"/>
          </w:tcPr>
          <w:p>
            <w:pPr>
              <w:rPr>
                <w:szCs w:val="21"/>
              </w:rPr>
            </w:pPr>
            <w:r>
              <w:rPr>
                <w:rFonts w:hint="eastAsia"/>
                <w:szCs w:val="21"/>
              </w:rPr>
              <w:t>患者服务能力评价</w:t>
            </w:r>
          </w:p>
        </w:tc>
        <w:tc>
          <w:tcPr>
            <w:tcW w:w="1418" w:type="dxa"/>
            <w:vAlign w:val="center"/>
          </w:tcPr>
          <w:p>
            <w:pPr>
              <w:rPr>
                <w:szCs w:val="21"/>
              </w:rPr>
            </w:pPr>
            <w:r>
              <w:rPr>
                <w:rFonts w:hint="eastAsia"/>
                <w:szCs w:val="21"/>
              </w:rPr>
              <w:t>综合问卷</w:t>
            </w:r>
          </w:p>
        </w:tc>
        <w:tc>
          <w:tcPr>
            <w:tcW w:w="2283" w:type="dxa"/>
            <w:vAlign w:val="center"/>
          </w:tcPr>
          <w:p>
            <w:pPr>
              <w:rPr>
                <w:szCs w:val="21"/>
              </w:rPr>
            </w:pPr>
            <w:r>
              <w:rPr>
                <w:rFonts w:hint="eastAsia"/>
                <w:szCs w:val="21"/>
              </w:rPr>
              <w:t>移动问卷服务</w:t>
            </w:r>
          </w:p>
        </w:tc>
        <w:tc>
          <w:tcPr>
            <w:tcW w:w="3968" w:type="dxa"/>
            <w:vAlign w:val="center"/>
          </w:tcPr>
          <w:p>
            <w:pPr>
              <w:rPr>
                <w:szCs w:val="21"/>
              </w:rPr>
            </w:pPr>
            <w:r>
              <w:rPr>
                <w:rFonts w:hint="eastAsia"/>
                <w:szCs w:val="21"/>
              </w:rPr>
              <w:t>老百姓可通过手机端完成业务用户制定的问卷。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szCs w:val="21"/>
              </w:rPr>
            </w:pPr>
            <w:r>
              <w:rPr>
                <w:szCs w:val="21"/>
              </w:rPr>
              <w:t>1</w:t>
            </w:r>
            <w:r>
              <w:rPr>
                <w:rFonts w:hint="eastAsia"/>
                <w:szCs w:val="21"/>
              </w:rPr>
              <w:t>2</w:t>
            </w:r>
          </w:p>
        </w:tc>
        <w:tc>
          <w:tcPr>
            <w:tcW w:w="1123" w:type="dxa"/>
            <w:vMerge w:val="continue"/>
            <w:vAlign w:val="center"/>
          </w:tcPr>
          <w:p>
            <w:pPr>
              <w:rPr>
                <w:szCs w:val="21"/>
              </w:rPr>
            </w:pPr>
          </w:p>
        </w:tc>
        <w:tc>
          <w:tcPr>
            <w:tcW w:w="1418" w:type="dxa"/>
            <w:vAlign w:val="center"/>
          </w:tcPr>
          <w:p>
            <w:pPr>
              <w:rPr>
                <w:szCs w:val="21"/>
              </w:rPr>
            </w:pPr>
            <w:r>
              <w:rPr>
                <w:rFonts w:hint="eastAsia"/>
                <w:szCs w:val="21"/>
              </w:rPr>
              <w:t>健康处方</w:t>
            </w:r>
          </w:p>
        </w:tc>
        <w:tc>
          <w:tcPr>
            <w:tcW w:w="2283" w:type="dxa"/>
            <w:vAlign w:val="center"/>
          </w:tcPr>
          <w:p>
            <w:pPr>
              <w:rPr>
                <w:szCs w:val="21"/>
              </w:rPr>
            </w:pPr>
            <w:r>
              <w:rPr>
                <w:rFonts w:hint="eastAsia"/>
                <w:szCs w:val="21"/>
              </w:rPr>
              <w:t>运动、饮食、心理等健康处方</w:t>
            </w:r>
          </w:p>
        </w:tc>
        <w:tc>
          <w:tcPr>
            <w:tcW w:w="3968" w:type="dxa"/>
            <w:vAlign w:val="center"/>
          </w:tcPr>
          <w:p>
            <w:pPr>
              <w:rPr>
                <w:szCs w:val="21"/>
              </w:rPr>
            </w:pPr>
            <w:r>
              <w:rPr>
                <w:rFonts w:hint="eastAsia"/>
                <w:szCs w:val="21"/>
              </w:rPr>
              <w:t>可通过模型对个体进行高危风险识别，并出具运动、饮食、心理健康处方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szCs w:val="21"/>
              </w:rPr>
            </w:pPr>
            <w:r>
              <w:rPr>
                <w:szCs w:val="21"/>
              </w:rPr>
              <w:t>1</w:t>
            </w:r>
            <w:r>
              <w:rPr>
                <w:rFonts w:hint="eastAsia"/>
                <w:szCs w:val="21"/>
              </w:rPr>
              <w:t>3</w:t>
            </w:r>
          </w:p>
        </w:tc>
        <w:tc>
          <w:tcPr>
            <w:tcW w:w="1123" w:type="dxa"/>
            <w:vMerge w:val="continue"/>
            <w:vAlign w:val="center"/>
          </w:tcPr>
          <w:p>
            <w:pPr>
              <w:rPr>
                <w:szCs w:val="21"/>
              </w:rPr>
            </w:pPr>
          </w:p>
        </w:tc>
        <w:tc>
          <w:tcPr>
            <w:tcW w:w="1418" w:type="dxa"/>
            <w:vAlign w:val="center"/>
          </w:tcPr>
          <w:p>
            <w:pPr>
              <w:rPr>
                <w:szCs w:val="21"/>
              </w:rPr>
            </w:pPr>
            <w:r>
              <w:rPr>
                <w:rFonts w:hint="eastAsia"/>
                <w:szCs w:val="21"/>
              </w:rPr>
              <w:t>健康教育</w:t>
            </w:r>
          </w:p>
        </w:tc>
        <w:tc>
          <w:tcPr>
            <w:tcW w:w="2283" w:type="dxa"/>
            <w:vAlign w:val="center"/>
          </w:tcPr>
          <w:p>
            <w:pPr>
              <w:rPr>
                <w:szCs w:val="21"/>
              </w:rPr>
            </w:pPr>
            <w:r>
              <w:rPr>
                <w:rFonts w:hint="eastAsia"/>
                <w:szCs w:val="21"/>
              </w:rPr>
              <w:t>个性化健教信息</w:t>
            </w:r>
          </w:p>
        </w:tc>
        <w:tc>
          <w:tcPr>
            <w:tcW w:w="3968" w:type="dxa"/>
            <w:vAlign w:val="center"/>
          </w:tcPr>
          <w:p>
            <w:pPr>
              <w:rPr>
                <w:szCs w:val="21"/>
              </w:rPr>
            </w:pPr>
            <w:r>
              <w:rPr>
                <w:rFonts w:hint="eastAsia"/>
                <w:szCs w:val="21"/>
              </w:rPr>
              <w:t>可通过</w:t>
            </w:r>
            <w:r>
              <w:rPr>
                <w:rFonts w:hint="eastAsia"/>
                <w:szCs w:val="21"/>
                <w:lang w:val="en-US" w:eastAsia="zh-CN"/>
              </w:rPr>
              <w:t>人群标签</w:t>
            </w:r>
            <w:r>
              <w:rPr>
                <w:rFonts w:hint="eastAsia"/>
                <w:szCs w:val="21"/>
              </w:rPr>
              <w:t>对重点人群进行分类识别，并定向提供健康教育宣传信息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szCs w:val="21"/>
              </w:rPr>
            </w:pPr>
            <w:r>
              <w:rPr>
                <w:szCs w:val="21"/>
              </w:rPr>
              <w:t>1</w:t>
            </w:r>
            <w:r>
              <w:rPr>
                <w:rFonts w:hint="eastAsia"/>
                <w:szCs w:val="21"/>
              </w:rPr>
              <w:t>4</w:t>
            </w:r>
          </w:p>
        </w:tc>
        <w:tc>
          <w:tcPr>
            <w:tcW w:w="1123" w:type="dxa"/>
            <w:vMerge w:val="continue"/>
            <w:vAlign w:val="center"/>
          </w:tcPr>
          <w:p>
            <w:pPr>
              <w:rPr>
                <w:szCs w:val="21"/>
              </w:rPr>
            </w:pPr>
          </w:p>
        </w:tc>
        <w:tc>
          <w:tcPr>
            <w:tcW w:w="1418" w:type="dxa"/>
            <w:vAlign w:val="center"/>
          </w:tcPr>
          <w:p>
            <w:pPr>
              <w:rPr>
                <w:szCs w:val="21"/>
              </w:rPr>
            </w:pPr>
            <w:r>
              <w:rPr>
                <w:rFonts w:hint="eastAsia"/>
                <w:szCs w:val="21"/>
              </w:rPr>
              <w:t>语音服务</w:t>
            </w:r>
          </w:p>
        </w:tc>
        <w:tc>
          <w:tcPr>
            <w:tcW w:w="2283" w:type="dxa"/>
            <w:vAlign w:val="center"/>
          </w:tcPr>
          <w:p>
            <w:pPr>
              <w:rPr>
                <w:szCs w:val="21"/>
              </w:rPr>
            </w:pPr>
            <w:r>
              <w:rPr>
                <w:rFonts w:hint="eastAsia"/>
                <w:szCs w:val="21"/>
              </w:rPr>
              <w:t>问卷、随访等业务语音服务</w:t>
            </w:r>
          </w:p>
        </w:tc>
        <w:tc>
          <w:tcPr>
            <w:tcW w:w="3968" w:type="dxa"/>
            <w:vAlign w:val="center"/>
          </w:tcPr>
          <w:p>
            <w:pPr>
              <w:rPr>
                <w:szCs w:val="21"/>
              </w:rPr>
            </w:pPr>
            <w:r>
              <w:rPr>
                <w:rFonts w:hint="eastAsia"/>
                <w:szCs w:val="21"/>
              </w:rPr>
              <w:t>可提供基于人工智能语音的公共卫生服务，可实现人机对话及数据采集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szCs w:val="21"/>
              </w:rPr>
            </w:pPr>
            <w:r>
              <w:rPr>
                <w:rFonts w:hint="eastAsia"/>
                <w:szCs w:val="21"/>
              </w:rPr>
              <w:t>1</w:t>
            </w:r>
            <w:r>
              <w:rPr>
                <w:szCs w:val="21"/>
              </w:rPr>
              <w:t>5</w:t>
            </w:r>
          </w:p>
        </w:tc>
        <w:tc>
          <w:tcPr>
            <w:tcW w:w="1123" w:type="dxa"/>
            <w:vMerge w:val="restart"/>
            <w:vAlign w:val="center"/>
          </w:tcPr>
          <w:p>
            <w:pPr>
              <w:rPr>
                <w:szCs w:val="21"/>
              </w:rPr>
            </w:pPr>
            <w:r>
              <w:rPr>
                <w:rFonts w:hint="eastAsia"/>
                <w:szCs w:val="21"/>
              </w:rPr>
              <w:t>管理用户功能评价</w:t>
            </w:r>
          </w:p>
        </w:tc>
        <w:tc>
          <w:tcPr>
            <w:tcW w:w="1418" w:type="dxa"/>
            <w:vAlign w:val="center"/>
          </w:tcPr>
          <w:p>
            <w:pPr>
              <w:rPr>
                <w:szCs w:val="21"/>
              </w:rPr>
            </w:pPr>
            <w:r>
              <w:rPr>
                <w:rFonts w:hint="eastAsia"/>
                <w:szCs w:val="21"/>
              </w:rPr>
              <w:t>疾控业务管理</w:t>
            </w:r>
          </w:p>
        </w:tc>
        <w:tc>
          <w:tcPr>
            <w:tcW w:w="2283" w:type="dxa"/>
            <w:vAlign w:val="center"/>
          </w:tcPr>
          <w:p>
            <w:pPr>
              <w:rPr>
                <w:szCs w:val="21"/>
              </w:rPr>
            </w:pPr>
            <w:r>
              <w:rPr>
                <w:rFonts w:hint="eastAsia"/>
                <w:szCs w:val="21"/>
              </w:rPr>
              <w:t>免疫、环境、病媒、学生、营养、食源、职业病业务的全面支持</w:t>
            </w:r>
          </w:p>
        </w:tc>
        <w:tc>
          <w:tcPr>
            <w:tcW w:w="3968" w:type="dxa"/>
            <w:vAlign w:val="center"/>
          </w:tcPr>
          <w:p>
            <w:pPr>
              <w:rPr>
                <w:szCs w:val="21"/>
              </w:rPr>
            </w:pPr>
            <w:r>
              <w:rPr>
                <w:rFonts w:hint="eastAsia"/>
                <w:szCs w:val="21"/>
              </w:rPr>
              <w:t>平台可提供对免疫、环境、病媒、学生、营养、食源、职业病等业务的全面管理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szCs w:val="21"/>
              </w:rPr>
            </w:pPr>
            <w:r>
              <w:rPr>
                <w:rFonts w:hint="eastAsia"/>
                <w:szCs w:val="21"/>
              </w:rPr>
              <w:t>1</w:t>
            </w:r>
            <w:r>
              <w:rPr>
                <w:szCs w:val="21"/>
              </w:rPr>
              <w:t>6</w:t>
            </w:r>
          </w:p>
        </w:tc>
        <w:tc>
          <w:tcPr>
            <w:tcW w:w="1123" w:type="dxa"/>
            <w:vMerge w:val="continue"/>
            <w:vAlign w:val="center"/>
          </w:tcPr>
          <w:p>
            <w:pPr>
              <w:rPr>
                <w:szCs w:val="21"/>
              </w:rPr>
            </w:pPr>
          </w:p>
        </w:tc>
        <w:tc>
          <w:tcPr>
            <w:tcW w:w="1418" w:type="dxa"/>
            <w:vAlign w:val="center"/>
          </w:tcPr>
          <w:p>
            <w:pPr>
              <w:rPr>
                <w:szCs w:val="21"/>
              </w:rPr>
            </w:pPr>
            <w:r>
              <w:rPr>
                <w:rFonts w:hint="eastAsia"/>
                <w:szCs w:val="21"/>
              </w:rPr>
              <w:t>疾病流程化管理</w:t>
            </w:r>
          </w:p>
        </w:tc>
        <w:tc>
          <w:tcPr>
            <w:tcW w:w="2283" w:type="dxa"/>
            <w:vAlign w:val="center"/>
          </w:tcPr>
          <w:p>
            <w:pPr>
              <w:rPr>
                <w:szCs w:val="21"/>
              </w:rPr>
            </w:pPr>
            <w:r>
              <w:rPr>
                <w:rFonts w:hint="eastAsia"/>
                <w:szCs w:val="21"/>
              </w:rPr>
              <w:t>疾病流程及表单定制化</w:t>
            </w:r>
          </w:p>
        </w:tc>
        <w:tc>
          <w:tcPr>
            <w:tcW w:w="3968" w:type="dxa"/>
            <w:vAlign w:val="center"/>
          </w:tcPr>
          <w:p>
            <w:pPr>
              <w:rPr>
                <w:rFonts w:hint="eastAsia"/>
                <w:szCs w:val="21"/>
              </w:rPr>
            </w:pPr>
            <w:r>
              <w:rPr>
                <w:rFonts w:hint="eastAsia"/>
                <w:szCs w:val="21"/>
              </w:rPr>
              <w:t>可实现通过流程定义可表单定制完成自定义疾病的流程化管理</w:t>
            </w:r>
          </w:p>
          <w:p>
            <w:pPr>
              <w:rPr>
                <w:rFonts w:hint="default" w:eastAsiaTheme="minorEastAsia"/>
                <w:szCs w:val="21"/>
                <w:lang w:val="en-US" w:eastAsia="zh-CN"/>
              </w:rPr>
            </w:pPr>
            <w:r>
              <w:rPr>
                <w:rFonts w:hint="eastAsia"/>
                <w:szCs w:val="21"/>
                <w:lang w:val="en-US" w:eastAsia="zh-CN"/>
              </w:rPr>
              <w:t>随访、筛查、问卷等表单均支持按病种进行自定义模版设置，操作便捷友好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szCs w:val="21"/>
              </w:rPr>
            </w:pPr>
            <w:r>
              <w:rPr>
                <w:rFonts w:hint="eastAsia"/>
                <w:szCs w:val="21"/>
              </w:rPr>
              <w:t>1</w:t>
            </w:r>
            <w:r>
              <w:rPr>
                <w:szCs w:val="21"/>
              </w:rPr>
              <w:t>7</w:t>
            </w:r>
          </w:p>
        </w:tc>
        <w:tc>
          <w:tcPr>
            <w:tcW w:w="1123" w:type="dxa"/>
            <w:vMerge w:val="continue"/>
            <w:vAlign w:val="center"/>
          </w:tcPr>
          <w:p>
            <w:pPr>
              <w:rPr>
                <w:szCs w:val="21"/>
              </w:rPr>
            </w:pPr>
          </w:p>
        </w:tc>
        <w:tc>
          <w:tcPr>
            <w:tcW w:w="1418" w:type="dxa"/>
            <w:vAlign w:val="center"/>
          </w:tcPr>
          <w:p>
            <w:pPr>
              <w:rPr>
                <w:szCs w:val="21"/>
              </w:rPr>
            </w:pPr>
            <w:r>
              <w:rPr>
                <w:rFonts w:hint="eastAsia"/>
                <w:szCs w:val="21"/>
              </w:rPr>
              <w:t>传染病预警分析</w:t>
            </w:r>
          </w:p>
        </w:tc>
        <w:tc>
          <w:tcPr>
            <w:tcW w:w="2283" w:type="dxa"/>
            <w:vAlign w:val="center"/>
          </w:tcPr>
          <w:p>
            <w:pPr>
              <w:rPr>
                <w:szCs w:val="21"/>
              </w:rPr>
            </w:pPr>
            <w:r>
              <w:rPr>
                <w:rFonts w:hint="eastAsia"/>
                <w:szCs w:val="21"/>
              </w:rPr>
              <w:t>症候群监测、模型预警、风险研判</w:t>
            </w:r>
          </w:p>
        </w:tc>
        <w:tc>
          <w:tcPr>
            <w:tcW w:w="3968" w:type="dxa"/>
            <w:vAlign w:val="center"/>
          </w:tcPr>
          <w:p>
            <w:pPr>
              <w:rPr>
                <w:szCs w:val="21"/>
              </w:rPr>
            </w:pPr>
            <w:r>
              <w:rPr>
                <w:rFonts w:hint="eastAsia"/>
                <w:szCs w:val="21"/>
              </w:rPr>
              <w:t>系统可实现对症候群的监测、并支持通过通用传染病预测模型进行预警分析，及综合风险研判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rFonts w:hint="eastAsia"/>
                <w:szCs w:val="21"/>
              </w:rPr>
            </w:pPr>
          </w:p>
        </w:tc>
        <w:tc>
          <w:tcPr>
            <w:tcW w:w="1123" w:type="dxa"/>
            <w:vAlign w:val="center"/>
          </w:tcPr>
          <w:p>
            <w:pPr>
              <w:rPr>
                <w:rFonts w:hint="default" w:eastAsiaTheme="minorEastAsia"/>
                <w:szCs w:val="21"/>
                <w:lang w:val="en-US" w:eastAsia="zh-CN"/>
              </w:rPr>
            </w:pPr>
            <w:r>
              <w:rPr>
                <w:rFonts w:hint="eastAsia"/>
                <w:szCs w:val="21"/>
                <w:lang w:val="en-US" w:eastAsia="zh-CN"/>
              </w:rPr>
              <w:t>公共卫生项目流程化管理</w:t>
            </w:r>
          </w:p>
        </w:tc>
        <w:tc>
          <w:tcPr>
            <w:tcW w:w="1418" w:type="dxa"/>
            <w:vAlign w:val="center"/>
          </w:tcPr>
          <w:p>
            <w:pPr>
              <w:rPr>
                <w:rFonts w:hint="default"/>
                <w:szCs w:val="21"/>
                <w:lang w:val="en-US"/>
              </w:rPr>
            </w:pPr>
            <w:r>
              <w:rPr>
                <w:rFonts w:hint="eastAsia"/>
                <w:szCs w:val="21"/>
                <w:lang w:val="en-US" w:eastAsia="zh-CN"/>
              </w:rPr>
              <w:t>公共卫生项目管理</w:t>
            </w:r>
          </w:p>
        </w:tc>
        <w:tc>
          <w:tcPr>
            <w:tcW w:w="2283" w:type="dxa"/>
            <w:vAlign w:val="center"/>
          </w:tcPr>
          <w:p>
            <w:pPr>
              <w:rPr>
                <w:rFonts w:hint="eastAsia"/>
                <w:szCs w:val="21"/>
              </w:rPr>
            </w:pPr>
            <w:r>
              <w:rPr>
                <w:rFonts w:hint="eastAsia"/>
                <w:szCs w:val="21"/>
                <w:lang w:val="en-US" w:eastAsia="zh-CN"/>
              </w:rPr>
              <w:t>公共卫生项目管理</w:t>
            </w:r>
          </w:p>
        </w:tc>
        <w:tc>
          <w:tcPr>
            <w:tcW w:w="3968" w:type="dxa"/>
            <w:vAlign w:val="center"/>
          </w:tcPr>
          <w:p>
            <w:pPr>
              <w:rPr>
                <w:rFonts w:hint="eastAsia"/>
                <w:szCs w:val="21"/>
              </w:rPr>
            </w:pPr>
            <w:r>
              <w:rPr>
                <w:rFonts w:hint="eastAsia"/>
              </w:rPr>
              <w:t>基于公共卫生业务协同服务实现项目流程化管理，通过</w:t>
            </w:r>
            <w:r>
              <w:rPr>
                <w:rFonts w:hint="eastAsia"/>
                <w:lang w:val="en-US" w:eastAsia="zh-CN"/>
              </w:rPr>
              <w:t>制定计划</w:t>
            </w:r>
            <w:r>
              <w:rPr>
                <w:rFonts w:hint="eastAsia"/>
              </w:rPr>
              <w:t>、</w:t>
            </w:r>
            <w:r>
              <w:rPr>
                <w:rFonts w:hint="eastAsia"/>
                <w:lang w:val="en-US" w:eastAsia="zh-CN"/>
              </w:rPr>
              <w:t>任务分发</w:t>
            </w:r>
            <w:r>
              <w:rPr>
                <w:rFonts w:hint="eastAsia"/>
              </w:rPr>
              <w:t>、推送</w:t>
            </w:r>
            <w:r>
              <w:rPr>
                <w:rFonts w:hint="eastAsia"/>
                <w:lang w:eastAsia="zh-CN"/>
              </w:rPr>
              <w:t>、</w:t>
            </w:r>
            <w:r>
              <w:rPr>
                <w:rFonts w:hint="eastAsia"/>
                <w:lang w:val="en-US" w:eastAsia="zh-CN"/>
              </w:rPr>
              <w:t>进度管理等</w:t>
            </w:r>
            <w:r>
              <w:rPr>
                <w:rFonts w:hint="eastAsia"/>
              </w:rPr>
              <w:t>实现对公共卫生各项目的</w:t>
            </w:r>
            <w:r>
              <w:rPr>
                <w:rFonts w:hint="eastAsia"/>
                <w:lang w:val="en-US" w:eastAsia="zh-CN"/>
              </w:rPr>
              <w:t>协同</w:t>
            </w:r>
            <w:r>
              <w:rPr>
                <w:rFonts w:hint="eastAsia"/>
              </w:rPr>
              <w:t>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szCs w:val="21"/>
              </w:rPr>
            </w:pPr>
            <w:r>
              <w:rPr>
                <w:rFonts w:hint="eastAsia"/>
                <w:szCs w:val="21"/>
              </w:rPr>
              <w:t>1</w:t>
            </w:r>
            <w:r>
              <w:rPr>
                <w:szCs w:val="21"/>
              </w:rPr>
              <w:t>8</w:t>
            </w:r>
          </w:p>
        </w:tc>
        <w:tc>
          <w:tcPr>
            <w:tcW w:w="1123" w:type="dxa"/>
            <w:vMerge w:val="restart"/>
            <w:vAlign w:val="center"/>
          </w:tcPr>
          <w:p>
            <w:pPr>
              <w:rPr>
                <w:szCs w:val="21"/>
              </w:rPr>
            </w:pPr>
            <w:r>
              <w:rPr>
                <w:rFonts w:hint="eastAsia"/>
                <w:szCs w:val="21"/>
              </w:rPr>
              <w:t>平台整合与集成能力</w:t>
            </w:r>
          </w:p>
        </w:tc>
        <w:tc>
          <w:tcPr>
            <w:tcW w:w="1418" w:type="dxa"/>
            <w:vAlign w:val="center"/>
          </w:tcPr>
          <w:p>
            <w:pPr>
              <w:rPr>
                <w:szCs w:val="21"/>
              </w:rPr>
            </w:pPr>
            <w:r>
              <w:rPr>
                <w:rFonts w:hint="eastAsia"/>
                <w:szCs w:val="21"/>
              </w:rPr>
              <w:t>整合与集成能力</w:t>
            </w:r>
          </w:p>
        </w:tc>
        <w:tc>
          <w:tcPr>
            <w:tcW w:w="2283" w:type="dxa"/>
            <w:vAlign w:val="center"/>
          </w:tcPr>
          <w:p>
            <w:pPr>
              <w:rPr>
                <w:szCs w:val="21"/>
              </w:rPr>
            </w:pPr>
            <w:r>
              <w:rPr>
                <w:rFonts w:hint="eastAsia"/>
                <w:szCs w:val="21"/>
              </w:rPr>
              <w:t>服务通用性</w:t>
            </w:r>
          </w:p>
        </w:tc>
        <w:tc>
          <w:tcPr>
            <w:tcW w:w="3968" w:type="dxa"/>
            <w:vAlign w:val="center"/>
          </w:tcPr>
          <w:p>
            <w:pPr>
              <w:rPr>
                <w:szCs w:val="21"/>
              </w:rPr>
            </w:pPr>
            <w:r>
              <w:rPr>
                <w:rFonts w:hint="eastAsia"/>
                <w:szCs w:val="21"/>
              </w:rPr>
              <w:t>所有跨域业务，可在</w:t>
            </w:r>
            <w:r>
              <w:rPr>
                <w:rFonts w:hint="eastAsia"/>
                <w:szCs w:val="21"/>
                <w:lang w:val="en-US" w:eastAsia="zh-CN"/>
              </w:rPr>
              <w:t>统一集成平台</w:t>
            </w:r>
            <w:r>
              <w:rPr>
                <w:rFonts w:hint="eastAsia"/>
                <w:szCs w:val="21"/>
              </w:rPr>
              <w:t>进行服务注册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szCs w:val="21"/>
              </w:rPr>
            </w:pPr>
            <w:r>
              <w:rPr>
                <w:rFonts w:hint="eastAsia"/>
                <w:szCs w:val="21"/>
              </w:rPr>
              <w:t>1</w:t>
            </w:r>
            <w:r>
              <w:rPr>
                <w:szCs w:val="21"/>
              </w:rPr>
              <w:t>9</w:t>
            </w:r>
          </w:p>
        </w:tc>
        <w:tc>
          <w:tcPr>
            <w:tcW w:w="1123" w:type="dxa"/>
            <w:vMerge w:val="continue"/>
            <w:vAlign w:val="center"/>
          </w:tcPr>
          <w:p>
            <w:pPr>
              <w:rPr>
                <w:szCs w:val="21"/>
              </w:rPr>
            </w:pPr>
          </w:p>
        </w:tc>
        <w:tc>
          <w:tcPr>
            <w:tcW w:w="1418" w:type="dxa"/>
            <w:vAlign w:val="center"/>
          </w:tcPr>
          <w:p>
            <w:pPr>
              <w:rPr>
                <w:szCs w:val="21"/>
              </w:rPr>
            </w:pPr>
            <w:r>
              <w:rPr>
                <w:rFonts w:hint="eastAsia"/>
                <w:szCs w:val="21"/>
              </w:rPr>
              <w:t>整合与集成能力</w:t>
            </w:r>
          </w:p>
        </w:tc>
        <w:tc>
          <w:tcPr>
            <w:tcW w:w="2283" w:type="dxa"/>
            <w:vAlign w:val="center"/>
          </w:tcPr>
          <w:p>
            <w:pPr>
              <w:rPr>
                <w:szCs w:val="21"/>
              </w:rPr>
            </w:pPr>
            <w:r>
              <w:rPr>
                <w:rFonts w:hint="eastAsia"/>
                <w:szCs w:val="21"/>
              </w:rPr>
              <w:t>服务通用性</w:t>
            </w:r>
          </w:p>
        </w:tc>
        <w:tc>
          <w:tcPr>
            <w:tcW w:w="3968" w:type="dxa"/>
            <w:vAlign w:val="center"/>
          </w:tcPr>
          <w:p>
            <w:pPr>
              <w:rPr>
                <w:szCs w:val="21"/>
              </w:rPr>
            </w:pPr>
            <w:r>
              <w:rPr>
                <w:rFonts w:hint="eastAsia"/>
                <w:szCs w:val="21"/>
              </w:rPr>
              <w:t>所有注册服务可通过</w:t>
            </w:r>
            <w:r>
              <w:rPr>
                <w:rFonts w:hint="eastAsia"/>
                <w:szCs w:val="21"/>
                <w:lang w:val="en-US" w:eastAsia="zh-CN"/>
              </w:rPr>
              <w:t>集成平台</w:t>
            </w:r>
            <w:r>
              <w:rPr>
                <w:rFonts w:hint="eastAsia"/>
                <w:szCs w:val="21"/>
              </w:rPr>
              <w:t>进行统一管理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szCs w:val="21"/>
              </w:rPr>
            </w:pPr>
            <w:r>
              <w:rPr>
                <w:rFonts w:hint="eastAsia"/>
                <w:szCs w:val="21"/>
              </w:rPr>
              <w:t>2</w:t>
            </w:r>
            <w:r>
              <w:rPr>
                <w:szCs w:val="21"/>
              </w:rPr>
              <w:t>0</w:t>
            </w:r>
          </w:p>
        </w:tc>
        <w:tc>
          <w:tcPr>
            <w:tcW w:w="1123" w:type="dxa"/>
            <w:vMerge w:val="continue"/>
            <w:vAlign w:val="center"/>
          </w:tcPr>
          <w:p>
            <w:pPr>
              <w:rPr>
                <w:szCs w:val="21"/>
              </w:rPr>
            </w:pPr>
          </w:p>
        </w:tc>
        <w:tc>
          <w:tcPr>
            <w:tcW w:w="1418" w:type="dxa"/>
            <w:vAlign w:val="center"/>
          </w:tcPr>
          <w:p>
            <w:pPr>
              <w:rPr>
                <w:szCs w:val="21"/>
              </w:rPr>
            </w:pPr>
            <w:r>
              <w:rPr>
                <w:rFonts w:hint="eastAsia"/>
                <w:szCs w:val="21"/>
              </w:rPr>
              <w:t>整合与集成能力</w:t>
            </w:r>
          </w:p>
        </w:tc>
        <w:tc>
          <w:tcPr>
            <w:tcW w:w="2283" w:type="dxa"/>
            <w:vAlign w:val="center"/>
          </w:tcPr>
          <w:p>
            <w:pPr>
              <w:rPr>
                <w:szCs w:val="21"/>
              </w:rPr>
            </w:pPr>
            <w:r>
              <w:rPr>
                <w:rFonts w:hint="eastAsia"/>
                <w:szCs w:val="21"/>
              </w:rPr>
              <w:t>服务通用性</w:t>
            </w:r>
          </w:p>
        </w:tc>
        <w:tc>
          <w:tcPr>
            <w:tcW w:w="3968" w:type="dxa"/>
            <w:vAlign w:val="center"/>
          </w:tcPr>
          <w:p>
            <w:pPr>
              <w:rPr>
                <w:szCs w:val="21"/>
              </w:rPr>
            </w:pPr>
            <w:r>
              <w:rPr>
                <w:rFonts w:hint="eastAsia"/>
                <w:szCs w:val="21"/>
              </w:rPr>
              <w:t>服务调用的情况可通过</w:t>
            </w:r>
            <w:r>
              <w:rPr>
                <w:rFonts w:hint="eastAsia"/>
                <w:szCs w:val="21"/>
                <w:lang w:val="en-US" w:eastAsia="zh-CN"/>
              </w:rPr>
              <w:t>集成平台</w:t>
            </w:r>
            <w:r>
              <w:rPr>
                <w:rFonts w:hint="eastAsia"/>
                <w:szCs w:val="21"/>
              </w:rPr>
              <w:t>进行数据分析</w:t>
            </w:r>
            <w:r>
              <w:rPr>
                <w:szCs w:val="21"/>
              </w:rPr>
              <w:t>(</w:t>
            </w:r>
            <w:r>
              <w:rPr>
                <w:rFonts w:hint="eastAsia"/>
                <w:szCs w:val="21"/>
              </w:rPr>
              <w:t>调用次数、调用信息、失败日志等</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szCs w:val="21"/>
              </w:rPr>
            </w:pPr>
            <w:r>
              <w:rPr>
                <w:rFonts w:hint="eastAsia"/>
                <w:szCs w:val="21"/>
              </w:rPr>
              <w:t>2</w:t>
            </w:r>
            <w:r>
              <w:rPr>
                <w:szCs w:val="21"/>
              </w:rPr>
              <w:t>1</w:t>
            </w:r>
          </w:p>
        </w:tc>
        <w:tc>
          <w:tcPr>
            <w:tcW w:w="1123" w:type="dxa"/>
            <w:vMerge w:val="continue"/>
            <w:vAlign w:val="center"/>
          </w:tcPr>
          <w:p>
            <w:pPr>
              <w:rPr>
                <w:szCs w:val="21"/>
              </w:rPr>
            </w:pPr>
          </w:p>
        </w:tc>
        <w:tc>
          <w:tcPr>
            <w:tcW w:w="1418" w:type="dxa"/>
            <w:vAlign w:val="center"/>
          </w:tcPr>
          <w:p>
            <w:pPr>
              <w:rPr>
                <w:szCs w:val="21"/>
              </w:rPr>
            </w:pPr>
            <w:r>
              <w:rPr>
                <w:rFonts w:hint="eastAsia"/>
                <w:szCs w:val="21"/>
              </w:rPr>
              <w:t>整合与集成能力</w:t>
            </w:r>
          </w:p>
        </w:tc>
        <w:tc>
          <w:tcPr>
            <w:tcW w:w="2283" w:type="dxa"/>
            <w:vAlign w:val="center"/>
          </w:tcPr>
          <w:p>
            <w:pPr>
              <w:rPr>
                <w:szCs w:val="21"/>
              </w:rPr>
            </w:pPr>
            <w:r>
              <w:rPr>
                <w:rFonts w:hint="eastAsia"/>
                <w:szCs w:val="21"/>
              </w:rPr>
              <w:t>数据</w:t>
            </w:r>
            <w:r>
              <w:rPr>
                <w:rFonts w:hint="eastAsia"/>
                <w:szCs w:val="21"/>
                <w:lang w:val="en-US" w:eastAsia="zh-CN"/>
              </w:rPr>
              <w:t>治理</w:t>
            </w:r>
            <w:r>
              <w:rPr>
                <w:rFonts w:hint="eastAsia"/>
                <w:szCs w:val="21"/>
              </w:rPr>
              <w:t>能力</w:t>
            </w:r>
          </w:p>
        </w:tc>
        <w:tc>
          <w:tcPr>
            <w:tcW w:w="3968" w:type="dxa"/>
            <w:vAlign w:val="center"/>
          </w:tcPr>
          <w:p>
            <w:pPr>
              <w:rPr>
                <w:rFonts w:hint="default" w:eastAsiaTheme="minorEastAsia"/>
                <w:szCs w:val="21"/>
                <w:lang w:val="en-US" w:eastAsia="zh-CN"/>
              </w:rPr>
            </w:pPr>
            <w:r>
              <w:rPr>
                <w:rFonts w:hint="eastAsia"/>
                <w:szCs w:val="21"/>
                <w:lang w:val="en-US" w:eastAsia="zh-CN"/>
              </w:rPr>
              <w:t>根据数据需求，通过区域统一数据中台进行公共卫生数据相关治理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szCs w:val="21"/>
              </w:rPr>
            </w:pPr>
            <w:r>
              <w:rPr>
                <w:rFonts w:hint="eastAsia"/>
                <w:szCs w:val="21"/>
              </w:rPr>
              <w:t>2</w:t>
            </w:r>
            <w:r>
              <w:rPr>
                <w:szCs w:val="21"/>
              </w:rPr>
              <w:t>2</w:t>
            </w:r>
          </w:p>
        </w:tc>
        <w:tc>
          <w:tcPr>
            <w:tcW w:w="1123" w:type="dxa"/>
            <w:vMerge w:val="continue"/>
            <w:vAlign w:val="center"/>
          </w:tcPr>
          <w:p>
            <w:pPr>
              <w:rPr>
                <w:szCs w:val="21"/>
              </w:rPr>
            </w:pPr>
          </w:p>
        </w:tc>
        <w:tc>
          <w:tcPr>
            <w:tcW w:w="1418" w:type="dxa"/>
            <w:vAlign w:val="center"/>
          </w:tcPr>
          <w:p>
            <w:pPr>
              <w:rPr>
                <w:szCs w:val="21"/>
              </w:rPr>
            </w:pPr>
            <w:r>
              <w:rPr>
                <w:rFonts w:hint="eastAsia"/>
                <w:szCs w:val="21"/>
              </w:rPr>
              <w:t>整合与集成能力</w:t>
            </w:r>
          </w:p>
        </w:tc>
        <w:tc>
          <w:tcPr>
            <w:tcW w:w="2283" w:type="dxa"/>
            <w:vAlign w:val="center"/>
          </w:tcPr>
          <w:p>
            <w:pPr>
              <w:rPr>
                <w:szCs w:val="21"/>
              </w:rPr>
            </w:pPr>
            <w:r>
              <w:rPr>
                <w:rFonts w:hint="eastAsia"/>
                <w:szCs w:val="21"/>
              </w:rPr>
              <w:t>数据</w:t>
            </w:r>
            <w:r>
              <w:rPr>
                <w:rFonts w:hint="eastAsia"/>
                <w:szCs w:val="21"/>
                <w:lang w:val="en-US" w:eastAsia="zh-CN"/>
              </w:rPr>
              <w:t>分析</w:t>
            </w:r>
            <w:r>
              <w:rPr>
                <w:rFonts w:hint="eastAsia"/>
                <w:szCs w:val="21"/>
              </w:rPr>
              <w:t>能力</w:t>
            </w:r>
          </w:p>
        </w:tc>
        <w:tc>
          <w:tcPr>
            <w:tcW w:w="3968" w:type="dxa"/>
            <w:vAlign w:val="center"/>
          </w:tcPr>
          <w:p>
            <w:pPr>
              <w:rPr>
                <w:rFonts w:hint="default"/>
                <w:szCs w:val="21"/>
                <w:lang w:val="en-US"/>
              </w:rPr>
            </w:pPr>
            <w:r>
              <w:rPr>
                <w:rFonts w:hint="eastAsia"/>
                <w:szCs w:val="21"/>
                <w:lang w:val="en-US" w:eastAsia="zh-CN"/>
              </w:rPr>
              <w:t>根据指标需求，通过区域统一数据中台、数据仓库进行公共卫生数据相关指标开发，并进行指标共享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rFonts w:hint="default" w:eastAsiaTheme="minorEastAsia"/>
                <w:szCs w:val="21"/>
                <w:lang w:val="en-US" w:eastAsia="zh-CN"/>
              </w:rPr>
            </w:pPr>
            <w:r>
              <w:rPr>
                <w:rFonts w:hint="eastAsia"/>
                <w:szCs w:val="21"/>
                <w:lang w:val="en-US" w:eastAsia="zh-CN"/>
              </w:rPr>
              <w:t>23</w:t>
            </w:r>
          </w:p>
        </w:tc>
        <w:tc>
          <w:tcPr>
            <w:tcW w:w="1123" w:type="dxa"/>
            <w:vMerge w:val="restart"/>
            <w:vAlign w:val="center"/>
          </w:tcPr>
          <w:p>
            <w:pPr>
              <w:rPr>
                <w:rFonts w:hint="default" w:eastAsiaTheme="minorEastAsia"/>
                <w:szCs w:val="21"/>
                <w:lang w:val="en-US" w:eastAsia="zh-CN"/>
              </w:rPr>
            </w:pPr>
            <w:r>
              <w:rPr>
                <w:rFonts w:hint="eastAsia"/>
                <w:szCs w:val="21"/>
                <w:lang w:val="en-US" w:eastAsia="zh-CN"/>
              </w:rPr>
              <w:t>互联互通测评指标</w:t>
            </w:r>
          </w:p>
        </w:tc>
        <w:tc>
          <w:tcPr>
            <w:tcW w:w="1418" w:type="dxa"/>
            <w:vAlign w:val="center"/>
          </w:tcPr>
          <w:p>
            <w:pPr>
              <w:rPr>
                <w:rFonts w:hint="eastAsia"/>
                <w:szCs w:val="21"/>
              </w:rPr>
            </w:pPr>
            <w:r>
              <w:rPr>
                <w:sz w:val="21"/>
              </w:rPr>
              <w:t>健康档案管理任务提醒</w:t>
            </w:r>
          </w:p>
        </w:tc>
        <w:tc>
          <w:tcPr>
            <w:tcW w:w="2283"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iCs w:val="0"/>
                <w:color w:val="000000"/>
                <w:kern w:val="0"/>
                <w:sz w:val="21"/>
                <w:szCs w:val="21"/>
                <w:u w:val="none"/>
                <w:lang w:val="en-US" w:eastAsia="zh-CN" w:bidi="ar"/>
              </w:rPr>
              <w:t>健康档案管理任务提醒</w:t>
            </w:r>
          </w:p>
        </w:tc>
        <w:tc>
          <w:tcPr>
            <w:tcW w:w="396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1.存在未建档人群，应提醒公卫人员为居民进行建档；或是有档案转入转出等，应提醒进行档案管理；</w:t>
            </w:r>
          </w:p>
          <w:p>
            <w:pPr>
              <w:keepNext w:val="0"/>
              <w:keepLines w:val="0"/>
              <w:widowControl/>
              <w:suppressLineNumbers w:val="0"/>
              <w:jc w:val="left"/>
              <w:textAlignment w:val="center"/>
              <w:rPr>
                <w:rFonts w:hint="eastAsia"/>
                <w:szCs w:val="21"/>
                <w:lang w:val="en-US" w:eastAsia="zh-CN"/>
              </w:rPr>
            </w:pPr>
            <w:r>
              <w:rPr>
                <w:rFonts w:hint="eastAsia" w:ascii="宋体" w:hAnsi="宋体" w:eastAsia="宋体" w:cs="宋体"/>
                <w:i w:val="0"/>
                <w:iCs w:val="0"/>
                <w:color w:val="000000"/>
                <w:kern w:val="0"/>
                <w:sz w:val="21"/>
                <w:szCs w:val="21"/>
                <w:u w:val="none"/>
                <w:lang w:val="en-US" w:eastAsia="zh-CN" w:bidi="ar"/>
              </w:rPr>
              <w:t>2.有相应的档案管理任务提醒统计报表。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rFonts w:hint="default" w:eastAsiaTheme="minorEastAsia"/>
                <w:szCs w:val="21"/>
                <w:lang w:val="en-US" w:eastAsia="zh-CN"/>
              </w:rPr>
            </w:pPr>
            <w:r>
              <w:rPr>
                <w:rFonts w:hint="eastAsia"/>
                <w:szCs w:val="21"/>
                <w:lang w:val="en-US" w:eastAsia="zh-CN"/>
              </w:rPr>
              <w:t>24</w:t>
            </w:r>
          </w:p>
        </w:tc>
        <w:tc>
          <w:tcPr>
            <w:tcW w:w="1123" w:type="dxa"/>
            <w:vMerge w:val="continue"/>
            <w:vAlign w:val="center"/>
          </w:tcPr>
          <w:p>
            <w:pPr>
              <w:rPr>
                <w:rFonts w:hint="eastAsia"/>
                <w:szCs w:val="21"/>
                <w:lang w:val="en-US" w:eastAsia="zh-CN"/>
              </w:rPr>
            </w:pPr>
          </w:p>
        </w:tc>
        <w:tc>
          <w:tcPr>
            <w:tcW w:w="1418" w:type="dxa"/>
            <w:vAlign w:val="center"/>
          </w:tcPr>
          <w:p>
            <w:pPr>
              <w:rPr>
                <w:rFonts w:hint="eastAsia"/>
                <w:szCs w:val="21"/>
              </w:rPr>
            </w:pPr>
            <w:r>
              <w:rPr>
                <w:rFonts w:hint="eastAsia" w:ascii="宋体" w:hAnsi="宋体" w:eastAsia="宋体" w:cs="宋体"/>
                <w:i w:val="0"/>
                <w:iCs w:val="0"/>
                <w:color w:val="000000"/>
                <w:kern w:val="0"/>
                <w:sz w:val="21"/>
                <w:szCs w:val="21"/>
                <w:u w:val="none"/>
                <w:lang w:val="en-US" w:eastAsia="zh-CN" w:bidi="ar"/>
              </w:rPr>
              <w:t>家庭档案管理</w:t>
            </w:r>
          </w:p>
        </w:tc>
        <w:tc>
          <w:tcPr>
            <w:tcW w:w="2283"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iCs w:val="0"/>
                <w:color w:val="000000"/>
                <w:kern w:val="0"/>
                <w:sz w:val="21"/>
                <w:szCs w:val="21"/>
                <w:u w:val="none"/>
                <w:lang w:val="en-US" w:eastAsia="zh-CN" w:bidi="ar"/>
              </w:rPr>
              <w:t>家庭档案管理</w:t>
            </w:r>
          </w:p>
        </w:tc>
        <w:tc>
          <w:tcPr>
            <w:tcW w:w="396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1.创建家庭档案，对家庭档案进行管理等；</w:t>
            </w:r>
          </w:p>
          <w:p>
            <w:pPr>
              <w:keepNext w:val="0"/>
              <w:keepLines w:val="0"/>
              <w:widowControl/>
              <w:suppressLineNumbers w:val="0"/>
              <w:jc w:val="left"/>
              <w:textAlignment w:val="center"/>
              <w:rPr>
                <w:rFonts w:hint="eastAsia"/>
                <w:szCs w:val="21"/>
                <w:lang w:val="en-US" w:eastAsia="zh-CN"/>
              </w:rPr>
            </w:pPr>
            <w:r>
              <w:rPr>
                <w:rFonts w:hint="eastAsia" w:ascii="宋体" w:hAnsi="宋体" w:eastAsia="宋体" w:cs="宋体"/>
                <w:i w:val="0"/>
                <w:iCs w:val="0"/>
                <w:color w:val="000000"/>
                <w:kern w:val="0"/>
                <w:sz w:val="21"/>
                <w:szCs w:val="21"/>
                <w:u w:val="none"/>
                <w:lang w:val="en-US" w:eastAsia="zh-CN" w:bidi="ar"/>
              </w:rPr>
              <w:t>2.统计家庭档案管理情况。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rFonts w:hint="default" w:eastAsiaTheme="minorEastAsia"/>
                <w:szCs w:val="21"/>
                <w:lang w:val="en-US" w:eastAsia="zh-CN"/>
              </w:rPr>
            </w:pPr>
            <w:r>
              <w:rPr>
                <w:rFonts w:hint="eastAsia"/>
                <w:szCs w:val="21"/>
                <w:lang w:val="en-US" w:eastAsia="zh-CN"/>
              </w:rPr>
              <w:t>25</w:t>
            </w:r>
          </w:p>
        </w:tc>
        <w:tc>
          <w:tcPr>
            <w:tcW w:w="1123" w:type="dxa"/>
            <w:vMerge w:val="continue"/>
            <w:vAlign w:val="center"/>
          </w:tcPr>
          <w:p>
            <w:pPr>
              <w:rPr>
                <w:rFonts w:hint="eastAsia"/>
                <w:szCs w:val="21"/>
                <w:lang w:val="en-US" w:eastAsia="zh-CN"/>
              </w:rPr>
            </w:pPr>
          </w:p>
        </w:tc>
        <w:tc>
          <w:tcPr>
            <w:tcW w:w="1418"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iCs w:val="0"/>
                <w:color w:val="000000"/>
                <w:kern w:val="0"/>
                <w:sz w:val="21"/>
                <w:szCs w:val="21"/>
                <w:u w:val="none"/>
                <w:lang w:val="en-US" w:eastAsia="zh-CN" w:bidi="ar"/>
              </w:rPr>
              <w:t>健康体检任务提醒</w:t>
            </w:r>
          </w:p>
        </w:tc>
        <w:tc>
          <w:tcPr>
            <w:tcW w:w="2283"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iCs w:val="0"/>
                <w:color w:val="000000"/>
                <w:kern w:val="0"/>
                <w:sz w:val="21"/>
                <w:szCs w:val="21"/>
                <w:u w:val="none"/>
                <w:lang w:val="en-US" w:eastAsia="zh-CN" w:bidi="ar"/>
              </w:rPr>
              <w:t>健康体检任务提醒</w:t>
            </w:r>
          </w:p>
        </w:tc>
        <w:tc>
          <w:tcPr>
            <w:tcW w:w="396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1.公卫医生，负责的健康档案里如存在有健康体检任务还没完成时，应及时提醒公卫医生去完成；</w:t>
            </w:r>
          </w:p>
          <w:p>
            <w:pPr>
              <w:keepNext w:val="0"/>
              <w:keepLines w:val="0"/>
              <w:widowControl/>
              <w:suppressLineNumbers w:val="0"/>
              <w:jc w:val="left"/>
              <w:textAlignment w:val="center"/>
              <w:rPr>
                <w:rFonts w:hint="eastAsia"/>
                <w:szCs w:val="21"/>
                <w:lang w:val="en-US" w:eastAsia="zh-CN"/>
              </w:rPr>
            </w:pPr>
            <w:r>
              <w:rPr>
                <w:rFonts w:hint="eastAsia" w:ascii="宋体" w:hAnsi="宋体" w:eastAsia="宋体" w:cs="宋体"/>
                <w:i w:val="0"/>
                <w:iCs w:val="0"/>
                <w:color w:val="000000"/>
                <w:kern w:val="0"/>
                <w:sz w:val="21"/>
                <w:szCs w:val="21"/>
                <w:u w:val="none"/>
                <w:lang w:val="en-US" w:eastAsia="zh-CN" w:bidi="ar"/>
              </w:rPr>
              <w:t>2.有相应的统计报表。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rFonts w:hint="default" w:eastAsiaTheme="minorEastAsia"/>
                <w:szCs w:val="21"/>
                <w:lang w:val="en-US" w:eastAsia="zh-CN"/>
              </w:rPr>
            </w:pPr>
            <w:r>
              <w:rPr>
                <w:rFonts w:hint="eastAsia"/>
                <w:szCs w:val="21"/>
                <w:lang w:val="en-US" w:eastAsia="zh-CN"/>
              </w:rPr>
              <w:t>26</w:t>
            </w:r>
          </w:p>
        </w:tc>
        <w:tc>
          <w:tcPr>
            <w:tcW w:w="1123" w:type="dxa"/>
            <w:vMerge w:val="continue"/>
            <w:vAlign w:val="center"/>
          </w:tcPr>
          <w:p>
            <w:pPr>
              <w:rPr>
                <w:rFonts w:hint="eastAsia"/>
                <w:szCs w:val="21"/>
                <w:lang w:val="en-US" w:eastAsia="zh-CN"/>
              </w:rPr>
            </w:pPr>
          </w:p>
        </w:tc>
        <w:tc>
          <w:tcPr>
            <w:tcW w:w="1418" w:type="dxa"/>
            <w:vAlign w:val="center"/>
          </w:tcPr>
          <w:p>
            <w:pPr>
              <w:rPr>
                <w:rFonts w:hint="eastAsia"/>
                <w:szCs w:val="21"/>
              </w:rPr>
            </w:pPr>
            <w:r>
              <w:rPr>
                <w:rFonts w:hint="eastAsia" w:ascii="宋体" w:hAnsi="宋体" w:eastAsia="宋体" w:cs="宋体"/>
                <w:i w:val="0"/>
                <w:iCs w:val="0"/>
                <w:color w:val="000000"/>
                <w:kern w:val="0"/>
                <w:sz w:val="21"/>
                <w:szCs w:val="21"/>
                <w:u w:val="none"/>
                <w:lang w:val="en-US" w:eastAsia="zh-CN" w:bidi="ar"/>
              </w:rPr>
              <w:t>传染病管理任务提醒</w:t>
            </w:r>
          </w:p>
        </w:tc>
        <w:tc>
          <w:tcPr>
            <w:tcW w:w="2283"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iCs w:val="0"/>
                <w:color w:val="000000"/>
                <w:kern w:val="0"/>
                <w:sz w:val="21"/>
                <w:szCs w:val="21"/>
                <w:u w:val="none"/>
                <w:lang w:val="en-US" w:eastAsia="zh-CN" w:bidi="ar"/>
              </w:rPr>
              <w:t>传染病管理任务提醒</w:t>
            </w:r>
          </w:p>
        </w:tc>
        <w:tc>
          <w:tcPr>
            <w:tcW w:w="396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1.公卫医生，负责的健康档案里如发现有新的传染病报告信息时，应及时提醒公卫医生进行传染病监测；</w:t>
            </w:r>
          </w:p>
          <w:p>
            <w:pPr>
              <w:keepNext w:val="0"/>
              <w:keepLines w:val="0"/>
              <w:widowControl/>
              <w:suppressLineNumbers w:val="0"/>
              <w:jc w:val="left"/>
              <w:textAlignment w:val="center"/>
              <w:rPr>
                <w:rFonts w:hint="eastAsia"/>
                <w:szCs w:val="21"/>
                <w:lang w:val="en-US" w:eastAsia="zh-CN"/>
              </w:rPr>
            </w:pPr>
            <w:r>
              <w:rPr>
                <w:rFonts w:hint="eastAsia" w:ascii="宋体" w:hAnsi="宋体" w:eastAsia="宋体" w:cs="宋体"/>
                <w:i w:val="0"/>
                <w:iCs w:val="0"/>
                <w:color w:val="000000"/>
                <w:kern w:val="0"/>
                <w:sz w:val="21"/>
                <w:szCs w:val="21"/>
                <w:u w:val="none"/>
                <w:lang w:val="en-US" w:eastAsia="zh-CN" w:bidi="ar"/>
              </w:rPr>
              <w:t>2.统计传染病提醒业务情况。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rFonts w:hint="default" w:eastAsiaTheme="minorEastAsia"/>
                <w:szCs w:val="21"/>
                <w:lang w:val="en-US" w:eastAsia="zh-CN"/>
              </w:rPr>
            </w:pPr>
            <w:r>
              <w:rPr>
                <w:rFonts w:hint="eastAsia"/>
                <w:szCs w:val="21"/>
                <w:lang w:val="en-US" w:eastAsia="zh-CN"/>
              </w:rPr>
              <w:t>27</w:t>
            </w:r>
          </w:p>
        </w:tc>
        <w:tc>
          <w:tcPr>
            <w:tcW w:w="1123" w:type="dxa"/>
            <w:vMerge w:val="continue"/>
            <w:vAlign w:val="center"/>
          </w:tcPr>
          <w:p>
            <w:pPr>
              <w:rPr>
                <w:rFonts w:hint="eastAsia"/>
                <w:szCs w:val="21"/>
                <w:lang w:val="en-US" w:eastAsia="zh-CN"/>
              </w:rPr>
            </w:pPr>
          </w:p>
        </w:tc>
        <w:tc>
          <w:tcPr>
            <w:tcW w:w="1418" w:type="dxa"/>
            <w:vAlign w:val="center"/>
          </w:tcPr>
          <w:p>
            <w:pPr>
              <w:rPr>
                <w:rFonts w:hint="eastAsia"/>
                <w:szCs w:val="21"/>
              </w:rPr>
            </w:pPr>
            <w:r>
              <w:rPr>
                <w:rFonts w:hint="eastAsia" w:ascii="宋体" w:hAnsi="宋体" w:eastAsia="宋体" w:cs="宋体"/>
                <w:i w:val="0"/>
                <w:iCs w:val="0"/>
                <w:color w:val="000000"/>
                <w:kern w:val="0"/>
                <w:sz w:val="21"/>
                <w:szCs w:val="21"/>
                <w:u w:val="none"/>
                <w:lang w:val="en-US" w:eastAsia="zh-CN" w:bidi="ar"/>
              </w:rPr>
              <w:t>妇幼业务协同管理</w:t>
            </w:r>
          </w:p>
        </w:tc>
        <w:tc>
          <w:tcPr>
            <w:tcW w:w="2283" w:type="dxa"/>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iCs w:val="0"/>
                <w:color w:val="000000"/>
                <w:kern w:val="0"/>
                <w:sz w:val="21"/>
                <w:szCs w:val="21"/>
                <w:u w:val="none"/>
                <w:lang w:val="en-US" w:eastAsia="zh-CN" w:bidi="ar"/>
              </w:rPr>
              <w:t>妇幼业务协同管理</w:t>
            </w:r>
          </w:p>
        </w:tc>
        <w:tc>
          <w:tcPr>
            <w:tcW w:w="396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1.医生在提供医疗服务时如发现新的早孕者或新生儿，医生可以为患者创建孕产妇档案或新生儿档案；</w:t>
            </w:r>
          </w:p>
          <w:p>
            <w:pPr>
              <w:keepNext w:val="0"/>
              <w:keepLines w:val="0"/>
              <w:widowControl/>
              <w:suppressLineNumbers w:val="0"/>
              <w:jc w:val="left"/>
              <w:textAlignment w:val="center"/>
              <w:rPr>
                <w:rFonts w:hint="eastAsia"/>
                <w:szCs w:val="21"/>
                <w:lang w:val="en-US" w:eastAsia="zh-CN"/>
              </w:rPr>
            </w:pPr>
            <w:r>
              <w:rPr>
                <w:rFonts w:hint="eastAsia" w:ascii="宋体" w:hAnsi="宋体" w:eastAsia="宋体" w:cs="宋体"/>
                <w:i w:val="0"/>
                <w:iCs w:val="0"/>
                <w:color w:val="000000"/>
                <w:kern w:val="0"/>
                <w:sz w:val="21"/>
                <w:szCs w:val="21"/>
                <w:u w:val="none"/>
                <w:lang w:val="en-US" w:eastAsia="zh-CN" w:bidi="ar"/>
              </w:rPr>
              <w:t>2.有妇幼业务协同管理的统计。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jc w:val="center"/>
              <w:rPr>
                <w:rFonts w:hint="eastAsia" w:eastAsiaTheme="minorEastAsia"/>
                <w:szCs w:val="21"/>
                <w:lang w:val="en-US" w:eastAsia="zh-CN"/>
              </w:rPr>
            </w:pPr>
            <w:r>
              <w:rPr>
                <w:rFonts w:hint="eastAsia"/>
                <w:szCs w:val="21"/>
              </w:rPr>
              <w:t>2</w:t>
            </w:r>
            <w:r>
              <w:rPr>
                <w:rFonts w:hint="eastAsia"/>
                <w:szCs w:val="21"/>
                <w:lang w:val="en-US" w:eastAsia="zh-CN"/>
              </w:rPr>
              <w:t>8</w:t>
            </w:r>
          </w:p>
        </w:tc>
        <w:tc>
          <w:tcPr>
            <w:tcW w:w="1123" w:type="dxa"/>
            <w:vAlign w:val="center"/>
          </w:tcPr>
          <w:p>
            <w:pPr>
              <w:rPr>
                <w:szCs w:val="21"/>
              </w:rPr>
            </w:pPr>
            <w:r>
              <w:rPr>
                <w:rFonts w:hint="eastAsia"/>
                <w:szCs w:val="21"/>
              </w:rPr>
              <w:t>其他指标</w:t>
            </w:r>
          </w:p>
        </w:tc>
        <w:tc>
          <w:tcPr>
            <w:tcW w:w="1418" w:type="dxa"/>
            <w:vAlign w:val="center"/>
          </w:tcPr>
          <w:p>
            <w:pPr>
              <w:rPr>
                <w:szCs w:val="21"/>
              </w:rPr>
            </w:pPr>
            <w:r>
              <w:rPr>
                <w:rFonts w:hint="eastAsia"/>
                <w:szCs w:val="21"/>
              </w:rPr>
              <w:t>其他</w:t>
            </w:r>
          </w:p>
        </w:tc>
        <w:tc>
          <w:tcPr>
            <w:tcW w:w="2283" w:type="dxa"/>
            <w:vAlign w:val="center"/>
          </w:tcPr>
          <w:p>
            <w:pPr>
              <w:rPr>
                <w:szCs w:val="21"/>
              </w:rPr>
            </w:pPr>
            <w:r>
              <w:rPr>
                <w:rFonts w:hint="eastAsia"/>
                <w:szCs w:val="21"/>
              </w:rPr>
              <w:t>性能、安全、隐私</w:t>
            </w:r>
          </w:p>
        </w:tc>
        <w:tc>
          <w:tcPr>
            <w:tcW w:w="3968" w:type="dxa"/>
            <w:vAlign w:val="center"/>
          </w:tcPr>
          <w:p>
            <w:pPr>
              <w:rPr>
                <w:rFonts w:hint="eastAsia" w:eastAsiaTheme="minorEastAsia"/>
                <w:szCs w:val="21"/>
                <w:lang w:val="en-US" w:eastAsia="zh-CN"/>
              </w:rPr>
            </w:pPr>
            <w:r>
              <w:rPr>
                <w:rFonts w:hint="eastAsia"/>
                <w:szCs w:val="21"/>
              </w:rPr>
              <w:t>系统的</w:t>
            </w:r>
            <w:r>
              <w:rPr>
                <w:rFonts w:hint="eastAsia"/>
                <w:szCs w:val="21"/>
                <w:lang w:val="en-US" w:eastAsia="zh-CN"/>
              </w:rPr>
              <w:t>性能、可靠性、安全性</w:t>
            </w:r>
            <w:r>
              <w:rPr>
                <w:rFonts w:hint="eastAsia"/>
                <w:szCs w:val="21"/>
              </w:rPr>
              <w:t>、隐私保护</w:t>
            </w:r>
            <w:r>
              <w:rPr>
                <w:rFonts w:hint="eastAsia"/>
                <w:szCs w:val="21"/>
                <w:lang w:val="en-US" w:eastAsia="zh-CN"/>
              </w:rPr>
              <w:t>等</w:t>
            </w:r>
          </w:p>
        </w:tc>
      </w:tr>
    </w:tbl>
    <w:p>
      <w:pPr>
        <w:pStyle w:val="7"/>
      </w:pPr>
    </w:p>
    <w:p>
      <w:pPr>
        <w:pStyle w:val="4"/>
        <w:spacing w:before="20" w:after="20" w:line="360" w:lineRule="auto"/>
      </w:pPr>
      <w:r>
        <w:rPr>
          <w:rFonts w:hint="eastAsia" w:ascii="Times New Roman" w:hAnsi="Times New Roman"/>
          <w:sz w:val="24"/>
          <w:szCs w:val="21"/>
          <w:lang w:val="en-US" w:eastAsia="zh-CN"/>
        </w:rPr>
        <w:t>3.2.5备份+容灾</w:t>
      </w:r>
    </w:p>
    <w:tbl>
      <w:tblPr>
        <w:tblStyle w:val="9"/>
        <w:tblW w:w="9456" w:type="dxa"/>
        <w:tblInd w:w="0" w:type="dxa"/>
        <w:tblLayout w:type="fixed"/>
        <w:tblCellMar>
          <w:top w:w="15" w:type="dxa"/>
          <w:left w:w="15" w:type="dxa"/>
          <w:bottom w:w="15" w:type="dxa"/>
          <w:right w:w="15" w:type="dxa"/>
        </w:tblCellMar>
      </w:tblPr>
      <w:tblGrid>
        <w:gridCol w:w="602"/>
        <w:gridCol w:w="2867"/>
        <w:gridCol w:w="5987"/>
      </w:tblGrid>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tcPr>
          <w:p>
            <w:pPr>
              <w:pStyle w:val="8"/>
              <w:widowControl/>
              <w:jc w:val="center"/>
              <w:rPr>
                <w:rFonts w:ascii="宋体" w:hAnsi="宋体" w:eastAsia="宋体" w:cs="宋体"/>
                <w:color w:val="000000"/>
                <w:sz w:val="21"/>
                <w:szCs w:val="21"/>
              </w:rPr>
            </w:pPr>
            <w:r>
              <w:rPr>
                <w:rFonts w:hint="eastAsia" w:ascii="宋体" w:hAnsi="宋体" w:eastAsia="宋体" w:cs="宋体"/>
                <w:color w:val="000000"/>
                <w:sz w:val="21"/>
                <w:szCs w:val="21"/>
              </w:rPr>
              <w:t>序号</w:t>
            </w:r>
          </w:p>
        </w:tc>
        <w:tc>
          <w:tcPr>
            <w:tcW w:w="286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tcPr>
          <w:p>
            <w:pPr>
              <w:pStyle w:val="8"/>
              <w:widowControl/>
              <w:jc w:val="center"/>
              <w:rPr>
                <w:rFonts w:hint="eastAsia" w:ascii="宋体" w:hAnsi="宋体" w:eastAsia="宋体" w:cs="宋体"/>
                <w:color w:val="000000"/>
                <w:kern w:val="0"/>
                <w:sz w:val="21"/>
                <w:szCs w:val="21"/>
                <w:lang w:eastAsia="zh-CN" w:bidi="ar"/>
              </w:rPr>
            </w:pPr>
            <w:r>
              <w:rPr>
                <w:rFonts w:hint="eastAsia" w:ascii="宋体" w:hAnsi="宋体" w:eastAsia="宋体" w:cs="宋体"/>
                <w:b/>
                <w:bCs/>
                <w:color w:val="000000"/>
                <w:sz w:val="21"/>
                <w:szCs w:val="21"/>
                <w:lang w:val="en-US" w:eastAsia="zh-CN"/>
              </w:rPr>
              <w:t>测试项</w:t>
            </w:r>
          </w:p>
        </w:tc>
        <w:tc>
          <w:tcPr>
            <w:tcW w:w="598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tcPr>
          <w:p>
            <w:pPr>
              <w:pStyle w:val="8"/>
              <w:widowControl/>
              <w:jc w:val="center"/>
              <w:rPr>
                <w:rFonts w:hint="default" w:ascii="宋体" w:hAnsi="宋体" w:eastAsia="宋体" w:cs="宋体"/>
                <w:color w:val="000000"/>
                <w:kern w:val="0"/>
                <w:sz w:val="21"/>
                <w:szCs w:val="21"/>
                <w:lang w:val="en-US" w:eastAsia="zh-CN" w:bidi="ar"/>
              </w:rPr>
            </w:pPr>
            <w:r>
              <w:rPr>
                <w:rFonts w:hint="eastAsia" w:ascii="宋体" w:hAnsi="宋体" w:eastAsia="宋体" w:cs="宋体"/>
                <w:b/>
                <w:bCs/>
                <w:color w:val="000000"/>
                <w:sz w:val="21"/>
                <w:szCs w:val="21"/>
                <w:lang w:val="en-US" w:eastAsia="zh-CN"/>
              </w:rPr>
              <w:t>需求描述</w:t>
            </w:r>
          </w:p>
        </w:tc>
      </w:tr>
      <w:tr>
        <w:tblPrEx>
          <w:tblCellMar>
            <w:top w:w="15" w:type="dxa"/>
            <w:left w:w="15" w:type="dxa"/>
            <w:bottom w:w="15" w:type="dxa"/>
            <w:right w:w="15" w:type="dxa"/>
          </w:tblCellMar>
        </w:tblPrEx>
        <w:trPr>
          <w:trHeight w:val="270" w:hRule="atLeast"/>
        </w:trPr>
        <w:tc>
          <w:tcPr>
            <w:tcW w:w="602"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pStyle w:val="8"/>
              <w:widowControl/>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286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数据备份及业务级容灾</w:t>
            </w:r>
          </w:p>
        </w:tc>
        <w:tc>
          <w:tcPr>
            <w:tcW w:w="5987" w:type="dxa"/>
            <w:tcBorders>
              <w:top w:val="single" w:color="auto" w:sz="2" w:space="0"/>
              <w:left w:val="single" w:color="auto" w:sz="2" w:space="0"/>
              <w:bottom w:val="single" w:color="auto" w:sz="2" w:space="0"/>
              <w:right w:val="single" w:color="auto" w:sz="2" w:space="0"/>
            </w:tcBorders>
            <w:shd w:val="clear" w:color="auto" w:fill="auto"/>
            <w:tcMar>
              <w:top w:w="0" w:type="dxa"/>
              <w:left w:w="72" w:type="dxa"/>
              <w:bottom w:w="0" w:type="dxa"/>
              <w:right w:w="72" w:type="dxa"/>
            </w:tcMar>
            <w:vAlign w:val="center"/>
          </w:tcPr>
          <w:p>
            <w:pPr>
              <w:keepNext w:val="0"/>
              <w:keepLines w:val="0"/>
              <w:widowControl/>
              <w:numPr>
                <w:ilvl w:val="0"/>
                <w:numId w:val="9"/>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实现数据定时及实时备份</w:t>
            </w:r>
          </w:p>
          <w:p>
            <w:pPr>
              <w:keepNext w:val="0"/>
              <w:keepLines w:val="0"/>
              <w:widowControl/>
              <w:numPr>
                <w:ilvl w:val="0"/>
                <w:numId w:val="9"/>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实现业务级容灾，实现RTO~0</w:t>
            </w:r>
          </w:p>
          <w:p>
            <w:pPr>
              <w:keepNext w:val="0"/>
              <w:keepLines w:val="0"/>
              <w:widowControl/>
              <w:numPr>
                <w:ilvl w:val="0"/>
                <w:numId w:val="9"/>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实现数据库同步双活</w:t>
            </w:r>
          </w:p>
          <w:p>
            <w:pPr>
              <w:keepNext w:val="0"/>
              <w:keepLines w:val="0"/>
              <w:widowControl/>
              <w:numPr>
                <w:ilvl w:val="0"/>
                <w:numId w:val="9"/>
              </w:numPr>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备份、容灾一体化管理</w:t>
            </w:r>
          </w:p>
        </w:tc>
      </w:tr>
    </w:tbl>
    <w:p/>
    <w:sectPr>
      <w:pgSz w:w="11906" w:h="16838"/>
      <w:pgMar w:top="1440" w:right="1083" w:bottom="1440"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YShuSongErKW">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939"/>
    <w:multiLevelType w:val="singleLevel"/>
    <w:tmpl w:val="867F7939"/>
    <w:lvl w:ilvl="0" w:tentative="0">
      <w:start w:val="1"/>
      <w:numFmt w:val="decimal"/>
      <w:suff w:val="nothing"/>
      <w:lvlText w:val="%1、"/>
      <w:lvlJc w:val="left"/>
    </w:lvl>
  </w:abstractNum>
  <w:abstractNum w:abstractNumId="1">
    <w:nsid w:val="8E8AA909"/>
    <w:multiLevelType w:val="singleLevel"/>
    <w:tmpl w:val="8E8AA909"/>
    <w:lvl w:ilvl="0" w:tentative="0">
      <w:start w:val="1"/>
      <w:numFmt w:val="decimal"/>
      <w:suff w:val="nothing"/>
      <w:lvlText w:val="%1、"/>
      <w:lvlJc w:val="left"/>
    </w:lvl>
  </w:abstractNum>
  <w:abstractNum w:abstractNumId="2">
    <w:nsid w:val="8F56862D"/>
    <w:multiLevelType w:val="singleLevel"/>
    <w:tmpl w:val="8F56862D"/>
    <w:lvl w:ilvl="0" w:tentative="0">
      <w:start w:val="1"/>
      <w:numFmt w:val="decimal"/>
      <w:suff w:val="nothing"/>
      <w:lvlText w:val="%1、"/>
      <w:lvlJc w:val="left"/>
    </w:lvl>
  </w:abstractNum>
  <w:abstractNum w:abstractNumId="3">
    <w:nsid w:val="A45900BB"/>
    <w:multiLevelType w:val="singleLevel"/>
    <w:tmpl w:val="A45900BB"/>
    <w:lvl w:ilvl="0" w:tentative="0">
      <w:start w:val="1"/>
      <w:numFmt w:val="decimal"/>
      <w:suff w:val="nothing"/>
      <w:lvlText w:val="%1、"/>
      <w:lvlJc w:val="left"/>
    </w:lvl>
  </w:abstractNum>
  <w:abstractNum w:abstractNumId="4">
    <w:nsid w:val="0D870775"/>
    <w:multiLevelType w:val="singleLevel"/>
    <w:tmpl w:val="0D870775"/>
    <w:lvl w:ilvl="0" w:tentative="0">
      <w:start w:val="1"/>
      <w:numFmt w:val="decimal"/>
      <w:lvlText w:val="%1."/>
      <w:lvlJc w:val="left"/>
      <w:pPr>
        <w:ind w:left="425" w:hanging="425"/>
      </w:pPr>
      <w:rPr>
        <w:rFonts w:hint="default"/>
      </w:rPr>
    </w:lvl>
  </w:abstractNum>
  <w:abstractNum w:abstractNumId="5">
    <w:nsid w:val="566AFDFE"/>
    <w:multiLevelType w:val="singleLevel"/>
    <w:tmpl w:val="566AFDFE"/>
    <w:lvl w:ilvl="0" w:tentative="0">
      <w:start w:val="1"/>
      <w:numFmt w:val="decimalEnclosedCircleChinese"/>
      <w:suff w:val="nothing"/>
      <w:lvlText w:val="%1　"/>
      <w:lvlJc w:val="left"/>
      <w:pPr>
        <w:ind w:left="0" w:firstLine="400"/>
      </w:pPr>
      <w:rPr>
        <w:rFonts w:hint="eastAsia"/>
      </w:rPr>
    </w:lvl>
  </w:abstractNum>
  <w:abstractNum w:abstractNumId="6">
    <w:nsid w:val="574989A0"/>
    <w:multiLevelType w:val="singleLevel"/>
    <w:tmpl w:val="574989A0"/>
    <w:lvl w:ilvl="0" w:tentative="0">
      <w:start w:val="1"/>
      <w:numFmt w:val="decimal"/>
      <w:suff w:val="nothing"/>
      <w:lvlText w:val="%1、"/>
      <w:lvlJc w:val="left"/>
    </w:lvl>
  </w:abstractNum>
  <w:abstractNum w:abstractNumId="7">
    <w:nsid w:val="6F06AF69"/>
    <w:multiLevelType w:val="singleLevel"/>
    <w:tmpl w:val="6F06AF69"/>
    <w:lvl w:ilvl="0" w:tentative="0">
      <w:start w:val="1"/>
      <w:numFmt w:val="decimal"/>
      <w:suff w:val="nothing"/>
      <w:lvlText w:val="%1、"/>
      <w:lvlJc w:val="left"/>
    </w:lvl>
  </w:abstractNum>
  <w:abstractNum w:abstractNumId="8">
    <w:nsid w:val="7BD8947B"/>
    <w:multiLevelType w:val="singleLevel"/>
    <w:tmpl w:val="7BD8947B"/>
    <w:lvl w:ilvl="0" w:tentative="0">
      <w:start w:val="1"/>
      <w:numFmt w:val="decimal"/>
      <w:lvlText w:val="%1."/>
      <w:lvlJc w:val="left"/>
      <w:pPr>
        <w:tabs>
          <w:tab w:val="left" w:pos="312"/>
        </w:tabs>
      </w:p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1YzZkNjc3MWE5YmYxYzdjY2ViMzc4NjBlZmQ4YzIifQ=="/>
  </w:docVars>
  <w:rsids>
    <w:rsidRoot w:val="38B4427D"/>
    <w:rsid w:val="017738D9"/>
    <w:rsid w:val="043F0BEF"/>
    <w:rsid w:val="04EC1BD3"/>
    <w:rsid w:val="075229E7"/>
    <w:rsid w:val="09153C1F"/>
    <w:rsid w:val="09401D91"/>
    <w:rsid w:val="10E94C0D"/>
    <w:rsid w:val="137E5960"/>
    <w:rsid w:val="14C21C2E"/>
    <w:rsid w:val="163E43EA"/>
    <w:rsid w:val="19A76768"/>
    <w:rsid w:val="1A8C6A6B"/>
    <w:rsid w:val="1BDB10CC"/>
    <w:rsid w:val="1F556ADF"/>
    <w:rsid w:val="219E6FAC"/>
    <w:rsid w:val="21F1044B"/>
    <w:rsid w:val="2AB6061D"/>
    <w:rsid w:val="2D05216B"/>
    <w:rsid w:val="32A46347"/>
    <w:rsid w:val="33C9180B"/>
    <w:rsid w:val="36C37AC2"/>
    <w:rsid w:val="38B4427D"/>
    <w:rsid w:val="3C5A64B7"/>
    <w:rsid w:val="3D3B09DF"/>
    <w:rsid w:val="3F2A0366"/>
    <w:rsid w:val="44811FA7"/>
    <w:rsid w:val="4A3F1AB2"/>
    <w:rsid w:val="4F9C3636"/>
    <w:rsid w:val="50586C0A"/>
    <w:rsid w:val="5246009B"/>
    <w:rsid w:val="567626C8"/>
    <w:rsid w:val="5DE54FE9"/>
    <w:rsid w:val="5DFC31B0"/>
    <w:rsid w:val="5F6F3F2B"/>
    <w:rsid w:val="5F841C80"/>
    <w:rsid w:val="610C15B8"/>
    <w:rsid w:val="639C3D75"/>
    <w:rsid w:val="6E647782"/>
    <w:rsid w:val="74A6074E"/>
    <w:rsid w:val="74B07C1C"/>
    <w:rsid w:val="771B7E7C"/>
    <w:rsid w:val="7F565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100" w:after="90" w:line="360" w:lineRule="auto"/>
      <w:outlineLvl w:val="0"/>
    </w:pPr>
    <w:rPr>
      <w:rFonts w:eastAsia="微软雅黑"/>
      <w:kern w:val="44"/>
      <w:sz w:val="32"/>
    </w:rPr>
  </w:style>
  <w:style w:type="paragraph" w:styleId="3">
    <w:name w:val="heading 2"/>
    <w:basedOn w:val="1"/>
    <w:next w:val="1"/>
    <w:autoRedefine/>
    <w:unhideWhenUsed/>
    <w:qFormat/>
    <w:uiPriority w:val="0"/>
    <w:pPr>
      <w:keepNext/>
      <w:keepLines/>
      <w:spacing w:before="20" w:after="20" w:line="413" w:lineRule="auto"/>
      <w:outlineLvl w:val="1"/>
    </w:pPr>
    <w:rPr>
      <w:rFonts w:ascii="Arial" w:hAnsi="Arial" w:eastAsia="微软雅黑"/>
      <w:sz w:val="28"/>
    </w:rPr>
  </w:style>
  <w:style w:type="paragraph" w:styleId="4">
    <w:name w:val="heading 3"/>
    <w:basedOn w:val="1"/>
    <w:next w:val="1"/>
    <w:autoRedefine/>
    <w:unhideWhenUsed/>
    <w:qFormat/>
    <w:uiPriority w:val="0"/>
    <w:pPr>
      <w:keepNext/>
      <w:keepLines/>
      <w:spacing w:before="260" w:after="260" w:line="413" w:lineRule="auto"/>
      <w:outlineLvl w:val="2"/>
    </w:pPr>
    <w:rPr>
      <w:b/>
      <w:sz w:val="32"/>
    </w:rPr>
  </w:style>
  <w:style w:type="paragraph" w:styleId="5">
    <w:name w:val="heading 4"/>
    <w:basedOn w:val="1"/>
    <w:next w:val="1"/>
    <w:unhideWhenUsed/>
    <w:qFormat/>
    <w:uiPriority w:val="0"/>
    <w:pPr>
      <w:widowControl/>
      <w:spacing w:beforeAutospacing="1" w:afterAutospacing="1"/>
      <w:jc w:val="left"/>
      <w:outlineLvl w:val="3"/>
    </w:pPr>
    <w:rPr>
      <w:rFonts w:hint="eastAsia" w:ascii="宋体" w:hAnsi="宋体" w:eastAsia="宋体" w:cs="Times New Roman"/>
      <w:b/>
      <w:bCs/>
      <w:kern w:val="0"/>
      <w:sz w:val="24"/>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6">
    <w:name w:val="annotation text"/>
    <w:basedOn w:val="1"/>
    <w:autoRedefine/>
    <w:qFormat/>
    <w:uiPriority w:val="0"/>
    <w:pPr>
      <w:jc w:val="left"/>
    </w:pPr>
  </w:style>
  <w:style w:type="paragraph" w:styleId="7">
    <w:name w:val="Body Text"/>
    <w:basedOn w:val="1"/>
    <w:qFormat/>
    <w:uiPriority w:val="99"/>
    <w:pPr>
      <w:spacing w:after="120"/>
    </w:pPr>
  </w:style>
  <w:style w:type="paragraph" w:styleId="8">
    <w:name w:val="Normal (Web)"/>
    <w:basedOn w:val="1"/>
    <w:autoRedefine/>
    <w:qFormat/>
    <w:uiPriority w:val="0"/>
    <w:rPr>
      <w:sz w:val="24"/>
    </w:rPr>
  </w:style>
  <w:style w:type="table" w:styleId="10">
    <w:name w:val="Table Grid"/>
    <w:basedOn w:val="9"/>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2024-03-22T06:07:00Z</dcterms:created>
  <dc:creator>lyna</dc:creator>
  <cp:lastModifiedBy>Siheng Li</cp:lastModifiedBy>
  <dcterms:modified xsi:type="dcterms:W3CDTF">2024-03-27T06:25:42Z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107FA67C7B69416588DD7DF910FEC77E_11</vt:lpwstr>
  </property>
</Properties>
</file>