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eastAsia="微软雅黑" w:hint="default"/>
          <w:b/>
          <w:bCs/>
          <w:sz w:val="32"/>
          <w:szCs w:val="40"/>
          <w:lang w:val="en-US" w:eastAsia="zh-CN"/>
        </w:rPr>
      </w:pPr>
      <w:r>
        <w:rPr>
          <w:rFonts w:hint="eastAsia"/>
          <w:b/>
          <w:bCs/>
          <w:sz w:val="32"/>
          <w:szCs w:val="40"/>
        </w:rPr>
        <w:t>深圳市南山</w:t>
      </w:r>
      <w:r>
        <w:rPr>
          <w:rFonts w:hint="eastAsia"/>
          <w:b/>
          <w:bCs/>
          <w:sz w:val="32"/>
          <w:szCs w:val="40"/>
          <w:lang w:val="en-US" w:eastAsia="zh-CN"/>
        </w:rPr>
        <w:t>区</w:t>
      </w:r>
      <w:r>
        <w:rPr>
          <w:rFonts w:hint="eastAsia"/>
          <w:b/>
          <w:bCs/>
          <w:sz w:val="32"/>
          <w:szCs w:val="40"/>
        </w:rPr>
        <w:t>医疗集团</w:t>
      </w:r>
      <w:r>
        <w:rPr>
          <w:rFonts w:hint="eastAsia"/>
          <w:b/>
          <w:bCs/>
          <w:sz w:val="32"/>
          <w:szCs w:val="40"/>
          <w:lang w:val="en-US" w:eastAsia="zh-CN"/>
        </w:rPr>
        <w:t>总部</w:t>
      </w:r>
      <w:r>
        <w:rPr>
          <w:rFonts w:hint="eastAsia"/>
          <w:b/>
          <w:bCs/>
          <w:sz w:val="32"/>
          <w:szCs w:val="40"/>
        </w:rPr>
        <w:t>社康统一移动支付</w:t>
      </w:r>
      <w:r>
        <w:rPr>
          <w:rFonts w:hint="eastAsia"/>
          <w:b/>
          <w:bCs/>
          <w:sz w:val="32"/>
          <w:szCs w:val="40"/>
          <w:lang w:val="en-US" w:eastAsia="zh-CN"/>
        </w:rPr>
        <w:t>项目需求</w:t>
      </w:r>
    </w:p>
    <w:p>
      <w:pPr>
        <w:pStyle w:val="style1"/>
        <w:ind w:left="600" w:hanging="600"/>
        <w:rPr/>
      </w:pPr>
      <w:r>
        <w:rPr>
          <w:rFonts w:hint="eastAsia"/>
        </w:rPr>
        <w:t>概述</w:t>
      </w:r>
    </w:p>
    <w:p>
      <w:pPr>
        <w:pStyle w:val="style0"/>
        <w:ind w:firstLine="420"/>
        <w:rPr/>
      </w:pPr>
      <w:r>
        <w:rPr>
          <w:rFonts w:hint="eastAsia"/>
        </w:rPr>
        <w:t>当前深圳市南山区社康中心移动支付由“深圳健康云”承接，为便于南山医疗集团对社康的中心移动支付的统一自主管理，南山区医疗集团计划建设社康统一移动支付项目。</w:t>
      </w:r>
    </w:p>
    <w:p>
      <w:pPr>
        <w:pStyle w:val="style0"/>
        <w:ind w:firstLine="420"/>
        <w:rPr/>
      </w:pPr>
      <w:r>
        <w:rPr>
          <w:rFonts w:hint="eastAsia"/>
        </w:rPr>
        <w:t>鉴于南山医疗集团下辖社康中心众多，且部分社康中心财务管理尚未纳入集团统一管理，本项目建设主要内容包括：</w:t>
      </w:r>
    </w:p>
    <w:p>
      <w:pPr>
        <w:pStyle w:val="style0"/>
        <w:ind w:firstLine="420"/>
        <w:rPr/>
      </w:pPr>
      <w:r>
        <w:rPr>
          <w:rFonts w:hint="eastAsia"/>
        </w:rPr>
        <w:t>1、南山医疗集团微信小程序：以南山医疗集团为微信支付商户主体、结算银行账户主体、微信小程序主体，建设由86个社康中心构成的统一移动微信小程序，此86个社康中心使用相同的微信支付商户号、结算银行账户、微信小程序；</w:t>
      </w:r>
    </w:p>
    <w:p>
      <w:pPr>
        <w:pStyle w:val="style0"/>
        <w:ind w:firstLine="420"/>
        <w:rPr/>
      </w:pPr>
      <w:r>
        <w:rPr>
          <w:rFonts w:hint="eastAsia"/>
        </w:rPr>
        <w:t>2、蛇口医院微信小程序：以蛇口医院为微信支付商户主体、结算银行账户主体、微信小程序主体，建设由该医院管辖的2个社康中心的统一移动微信小程序，此2个社康中心使用相同的微信支付商户号、结算银行账户、微信小程序；</w:t>
      </w:r>
    </w:p>
    <w:p>
      <w:pPr>
        <w:pStyle w:val="style0"/>
        <w:ind w:firstLine="420"/>
        <w:rPr/>
      </w:pPr>
      <w:r>
        <w:rPr>
          <w:rFonts w:hint="eastAsia"/>
        </w:rPr>
        <w:t>本解决方案将针对本项目建设范围、建设内容及相关工作项展开介绍。</w:t>
      </w:r>
    </w:p>
    <w:p>
      <w:pPr>
        <w:pStyle w:val="style1"/>
        <w:ind w:left="600" w:hanging="600"/>
        <w:rPr/>
      </w:pPr>
      <w:r>
        <w:rPr>
          <w:rFonts w:hint="eastAsia"/>
          <w:lang w:val="en-US" w:eastAsia="zh-CN"/>
        </w:rPr>
        <w:t>需求</w:t>
      </w:r>
    </w:p>
    <w:p>
      <w:pPr>
        <w:pStyle w:val="style2"/>
        <w:numPr>
          <w:ilvl w:val="0"/>
          <w:numId w:val="2"/>
        </w:numPr>
        <w:rPr/>
      </w:pPr>
      <w:r>
        <w:rPr>
          <w:rFonts w:hint="eastAsia"/>
        </w:rPr>
        <w:t>建设范围</w:t>
      </w:r>
    </w:p>
    <w:p>
      <w:pPr>
        <w:pStyle w:val="style0"/>
        <w:rPr/>
      </w:pPr>
      <w:r>
        <w:rPr>
          <w:rFonts w:hint="eastAsia"/>
        </w:rPr>
        <w:t>结合南山区社康中心业务现状，本项目第一阶段建设范围如下：</w:t>
      </w:r>
    </w:p>
    <w:tbl>
      <w:tblPr>
        <w:tblStyle w:val="style154"/>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46"/>
        <w:gridCol w:w="2410"/>
        <w:gridCol w:w="5670"/>
      </w:tblGrid>
      <w:tr>
        <w:trPr/>
        <w:tc>
          <w:tcPr>
            <w:tcW w:w="846" w:type="dxa"/>
            <w:tcBorders/>
          </w:tcPr>
          <w:p>
            <w:pPr>
              <w:pStyle w:val="style0"/>
              <w:rPr/>
            </w:pPr>
            <w:r>
              <w:rPr>
                <w:rFonts w:hint="eastAsia"/>
              </w:rPr>
              <w:t>序号</w:t>
            </w:r>
          </w:p>
        </w:tc>
        <w:tc>
          <w:tcPr>
            <w:tcW w:w="2410" w:type="dxa"/>
            <w:tcBorders/>
          </w:tcPr>
          <w:p>
            <w:pPr>
              <w:pStyle w:val="style0"/>
              <w:rPr/>
            </w:pPr>
            <w:r>
              <w:rPr>
                <w:rFonts w:hint="eastAsia"/>
              </w:rPr>
              <w:t>内容项</w:t>
            </w:r>
          </w:p>
        </w:tc>
        <w:tc>
          <w:tcPr>
            <w:tcW w:w="5670" w:type="dxa"/>
            <w:tcBorders/>
          </w:tcPr>
          <w:p>
            <w:pPr>
              <w:pStyle w:val="style0"/>
              <w:rPr/>
            </w:pPr>
            <w:r>
              <w:rPr>
                <w:rFonts w:hint="eastAsia"/>
              </w:rPr>
              <w:t>说明</w:t>
            </w:r>
          </w:p>
        </w:tc>
      </w:tr>
      <w:tr>
        <w:tblPrEx/>
        <w:trPr/>
        <w:tc>
          <w:tcPr>
            <w:tcW w:w="846" w:type="dxa"/>
            <w:tcBorders/>
          </w:tcPr>
          <w:p>
            <w:pPr>
              <w:pStyle w:val="style0"/>
              <w:rPr/>
            </w:pPr>
            <w:r>
              <w:rPr>
                <w:rFonts w:hint="eastAsia"/>
              </w:rPr>
              <w:t>1</w:t>
            </w:r>
          </w:p>
        </w:tc>
        <w:tc>
          <w:tcPr>
            <w:tcW w:w="2410" w:type="dxa"/>
            <w:tcBorders/>
          </w:tcPr>
          <w:p>
            <w:pPr>
              <w:pStyle w:val="style0"/>
              <w:rPr/>
            </w:pPr>
            <w:r>
              <w:rPr>
                <w:rFonts w:hint="eastAsia"/>
              </w:rPr>
              <w:t>2个微信小程序</w:t>
            </w:r>
          </w:p>
        </w:tc>
        <w:tc>
          <w:tcPr>
            <w:tcW w:w="5670" w:type="dxa"/>
            <w:tcBorders/>
          </w:tcPr>
          <w:p>
            <w:pPr>
              <w:pStyle w:val="style179"/>
              <w:numPr>
                <w:ilvl w:val="0"/>
                <w:numId w:val="3"/>
              </w:numPr>
              <w:ind w:firstLineChars="0"/>
              <w:rPr/>
            </w:pPr>
            <w:r>
              <w:rPr>
                <w:rFonts w:hint="eastAsia"/>
              </w:rPr>
              <w:t>以南山医疗集团为主体创建1个微信小程序：用于承载86个社康中心自费支付、医保支付服务（因“社康通”为微信小程序形式，故支付服务必须以微信小程序为载体才能对接）。该小程序只提供支付服务，不提供社康中心居民健康、医疗保健等非支付服务；</w:t>
            </w:r>
          </w:p>
          <w:p>
            <w:pPr>
              <w:pStyle w:val="style179"/>
              <w:numPr>
                <w:ilvl w:val="0"/>
                <w:numId w:val="3"/>
              </w:numPr>
              <w:ind w:firstLineChars="0"/>
              <w:rPr/>
            </w:pPr>
            <w:r>
              <w:rPr>
                <w:rFonts w:ascii="微软雅黑" w:cs="AppleExternalUIFontSimplifiedCh" w:hAnsi="微软雅黑" w:hint="eastAsia"/>
                <w:kern w:val="0"/>
                <w:szCs w:val="21"/>
              </w:rPr>
              <w:t>以蛇口医院为主体创建1个微信小程序：</w:t>
            </w:r>
            <w:r>
              <w:rPr>
                <w:rFonts w:hint="eastAsia"/>
              </w:rPr>
              <w:t>用于承载该医院下属2个社康中心自费支付、医保支付服务。该小程序只提供支付服务，不提供社康中心居民健康、医疗保健等非支付服务；</w:t>
            </w:r>
          </w:p>
          <w:p>
            <w:pPr>
              <w:pStyle w:val="style0"/>
              <w:rPr>
                <w:rFonts w:hint="eastAsia"/>
              </w:rPr>
            </w:pPr>
          </w:p>
        </w:tc>
      </w:tr>
      <w:tr>
        <w:tblPrEx/>
        <w:trPr/>
        <w:tc>
          <w:tcPr>
            <w:tcW w:w="846" w:type="dxa"/>
            <w:tcBorders/>
          </w:tcPr>
          <w:p>
            <w:pPr>
              <w:pStyle w:val="style0"/>
              <w:rPr/>
            </w:pPr>
            <w:r>
              <w:rPr>
                <w:rFonts w:hint="eastAsia"/>
              </w:rPr>
              <w:t>2</w:t>
            </w:r>
          </w:p>
        </w:tc>
        <w:tc>
          <w:tcPr>
            <w:tcW w:w="2410" w:type="dxa"/>
            <w:tcBorders/>
          </w:tcPr>
          <w:p>
            <w:pPr>
              <w:pStyle w:val="style0"/>
              <w:rPr/>
            </w:pPr>
            <w:r>
              <w:rPr>
                <w:rFonts w:hint="eastAsia"/>
              </w:rPr>
              <w:t>社康通微信小程序对接</w:t>
            </w:r>
          </w:p>
        </w:tc>
        <w:tc>
          <w:tcPr>
            <w:tcW w:w="5670" w:type="dxa"/>
            <w:tcBorders/>
          </w:tcPr>
          <w:p>
            <w:pPr>
              <w:pStyle w:val="style0"/>
              <w:rPr/>
            </w:pPr>
            <w:r>
              <w:rPr>
                <w:rFonts w:hint="eastAsia"/>
              </w:rPr>
              <w:t>南山医疗集团（内含86个社康中心）、蛇口医院（内含2个社康中心）共计2个微信小程序分别对接深圳市“社康通”微信小程序，实现本项目88个社康中心的挂号、诊间微信自费/医保支付服务</w:t>
            </w:r>
          </w:p>
        </w:tc>
      </w:tr>
      <w:tr>
        <w:tblPrEx/>
        <w:trPr/>
        <w:tc>
          <w:tcPr>
            <w:tcW w:w="846" w:type="dxa"/>
            <w:tcBorders/>
          </w:tcPr>
          <w:p>
            <w:pPr>
              <w:pStyle w:val="style0"/>
              <w:rPr/>
            </w:pPr>
            <w:r>
              <w:rPr>
                <w:rFonts w:hint="eastAsia"/>
              </w:rPr>
              <w:t>3</w:t>
            </w:r>
          </w:p>
        </w:tc>
        <w:tc>
          <w:tcPr>
            <w:tcW w:w="2410" w:type="dxa"/>
            <w:tcBorders/>
          </w:tcPr>
          <w:p>
            <w:pPr>
              <w:pStyle w:val="style0"/>
              <w:rPr/>
            </w:pPr>
            <w:r>
              <w:rPr>
                <w:rFonts w:hint="eastAsia"/>
              </w:rPr>
              <w:t>处方单微信扫码支付</w:t>
            </w:r>
          </w:p>
        </w:tc>
        <w:tc>
          <w:tcPr>
            <w:tcW w:w="5670" w:type="dxa"/>
            <w:tcBorders/>
          </w:tcPr>
          <w:p>
            <w:pPr>
              <w:pStyle w:val="style0"/>
              <w:rPr/>
            </w:pPr>
            <w:r>
              <w:rPr>
                <w:rFonts w:hint="eastAsia"/>
              </w:rPr>
              <w:t>2个微信小程序与社康HIS对接，实现88个社康中心的处方单扫码微信自费/医保支付</w:t>
            </w:r>
          </w:p>
        </w:tc>
      </w:tr>
      <w:tr>
        <w:tblPrEx/>
        <w:trPr/>
        <w:tc>
          <w:tcPr>
            <w:tcW w:w="846" w:type="dxa"/>
            <w:tcBorders/>
          </w:tcPr>
          <w:p>
            <w:pPr>
              <w:pStyle w:val="style0"/>
              <w:rPr/>
            </w:pPr>
            <w:r>
              <w:rPr>
                <w:rFonts w:hint="eastAsia"/>
              </w:rPr>
              <w:t>4</w:t>
            </w:r>
          </w:p>
        </w:tc>
        <w:tc>
          <w:tcPr>
            <w:tcW w:w="2410" w:type="dxa"/>
            <w:tcBorders/>
          </w:tcPr>
          <w:p>
            <w:pPr>
              <w:pStyle w:val="style0"/>
              <w:rPr/>
            </w:pPr>
            <w:r>
              <w:rPr>
                <w:rFonts w:hint="eastAsia"/>
              </w:rPr>
              <w:t>收费窗口付款码支付</w:t>
            </w:r>
          </w:p>
        </w:tc>
        <w:tc>
          <w:tcPr>
            <w:tcW w:w="5670" w:type="dxa"/>
            <w:tcBorders/>
          </w:tcPr>
          <w:p>
            <w:pPr>
              <w:pStyle w:val="style0"/>
              <w:rPr/>
            </w:pPr>
            <w:r>
              <w:rPr>
                <w:rFonts w:hint="eastAsia"/>
              </w:rPr>
              <w:t>2个微信小程序</w:t>
            </w:r>
            <w:r>
              <w:rPr>
                <w:rFonts w:hint="eastAsia"/>
                <w:lang w:eastAsia="zh-CN"/>
              </w:rPr>
              <w:t>与</w:t>
            </w:r>
            <w:r>
              <w:rPr>
                <w:rFonts w:hint="eastAsia"/>
              </w:rPr>
              <w:t>社康HIS对接，实现88个社康中心的收费窗口扫描微信付款码支付</w:t>
            </w:r>
          </w:p>
        </w:tc>
      </w:tr>
      <w:tr>
        <w:tblPrEx/>
        <w:trPr/>
        <w:tc>
          <w:tcPr>
            <w:tcW w:w="846" w:type="dxa"/>
            <w:tcBorders/>
          </w:tcPr>
          <w:p>
            <w:pPr>
              <w:pStyle w:val="style0"/>
              <w:rPr/>
            </w:pPr>
            <w:r>
              <w:rPr>
                <w:rFonts w:hint="eastAsia"/>
              </w:rPr>
              <w:t>5</w:t>
            </w:r>
          </w:p>
        </w:tc>
        <w:tc>
          <w:tcPr>
            <w:tcW w:w="2410" w:type="dxa"/>
            <w:tcBorders/>
          </w:tcPr>
          <w:p>
            <w:pPr>
              <w:pStyle w:val="style0"/>
              <w:rPr/>
            </w:pPr>
            <w:r>
              <w:rPr>
                <w:rFonts w:hint="eastAsia"/>
              </w:rPr>
              <w:t>微信自费支付</w:t>
            </w:r>
          </w:p>
        </w:tc>
        <w:tc>
          <w:tcPr>
            <w:tcW w:w="5670" w:type="dxa"/>
            <w:tcBorders/>
          </w:tcPr>
          <w:p>
            <w:pPr>
              <w:pStyle w:val="style179"/>
              <w:numPr>
                <w:ilvl w:val="0"/>
                <w:numId w:val="4"/>
              </w:numPr>
              <w:ind w:firstLineChars="0"/>
              <w:rPr/>
            </w:pPr>
            <w:r>
              <w:rPr>
                <w:rFonts w:hint="eastAsia"/>
              </w:rPr>
              <w:t>以南山医疗集团为主体申请微信支付商户号、结算银行账户，且86个社康中心共用同一个微信支付商户号收款，实现微信自费支付对接；</w:t>
            </w:r>
          </w:p>
          <w:p>
            <w:pPr>
              <w:pStyle w:val="style179"/>
              <w:numPr>
                <w:ilvl w:val="0"/>
                <w:numId w:val="4"/>
              </w:numPr>
              <w:ind w:firstLineChars="0"/>
              <w:rPr/>
            </w:pPr>
            <w:r>
              <w:rPr>
                <w:rFonts w:hint="eastAsia"/>
              </w:rPr>
              <w:t>以蛇口医院（内含2个社康中心）为主体申请微信支付商户号、结算银行账户，实现微信自费</w:t>
            </w:r>
            <w:bookmarkStart w:id="0" w:name="_GoBack"/>
            <w:bookmarkEnd w:id="0"/>
            <w:r>
              <w:rPr>
                <w:rFonts w:hint="eastAsia"/>
              </w:rPr>
              <w:t>支付对接；</w:t>
            </w:r>
          </w:p>
        </w:tc>
      </w:tr>
      <w:tr>
        <w:tblPrEx/>
        <w:trPr/>
        <w:tc>
          <w:tcPr>
            <w:tcW w:w="846" w:type="dxa"/>
            <w:tcBorders/>
          </w:tcPr>
          <w:p>
            <w:pPr>
              <w:pStyle w:val="style0"/>
              <w:rPr/>
            </w:pPr>
            <w:r>
              <w:rPr>
                <w:rFonts w:hint="eastAsia"/>
              </w:rPr>
              <w:t>6</w:t>
            </w:r>
          </w:p>
        </w:tc>
        <w:tc>
          <w:tcPr>
            <w:tcW w:w="2410" w:type="dxa"/>
            <w:tcBorders/>
          </w:tcPr>
          <w:p>
            <w:pPr>
              <w:pStyle w:val="style0"/>
              <w:rPr/>
            </w:pPr>
            <w:r>
              <w:rPr>
                <w:rFonts w:hint="eastAsia"/>
              </w:rPr>
              <w:t>微信国标医保支付</w:t>
            </w:r>
          </w:p>
        </w:tc>
        <w:tc>
          <w:tcPr>
            <w:tcW w:w="5670" w:type="dxa"/>
            <w:tcBorders/>
          </w:tcPr>
          <w:p>
            <w:pPr>
              <w:pStyle w:val="style0"/>
              <w:rPr/>
            </w:pPr>
            <w:r>
              <w:rPr>
                <w:rFonts w:hint="eastAsia"/>
              </w:rPr>
              <w:t>88个社康中心使用医保局分配的各自的医疗机构编码及医保支付参数分别发起医保支付。所支持的医保支付类型由医保局政策及API决定。</w:t>
            </w:r>
          </w:p>
        </w:tc>
      </w:tr>
      <w:tr>
        <w:tblPrEx/>
        <w:trPr/>
        <w:tc>
          <w:tcPr>
            <w:tcW w:w="846" w:type="dxa"/>
            <w:tcBorders/>
          </w:tcPr>
          <w:p>
            <w:pPr>
              <w:pStyle w:val="style0"/>
              <w:rPr/>
            </w:pPr>
            <w:r>
              <w:rPr>
                <w:rFonts w:hint="eastAsia"/>
              </w:rPr>
              <w:t>7</w:t>
            </w:r>
          </w:p>
        </w:tc>
        <w:tc>
          <w:tcPr>
            <w:tcW w:w="2410" w:type="dxa"/>
            <w:tcBorders/>
          </w:tcPr>
          <w:p>
            <w:pPr>
              <w:pStyle w:val="style0"/>
              <w:rPr/>
            </w:pPr>
            <w:r>
              <w:rPr>
                <w:rFonts w:hint="eastAsia"/>
              </w:rPr>
              <w:t>订单管理、账单管理与对账</w:t>
            </w:r>
          </w:p>
        </w:tc>
        <w:tc>
          <w:tcPr>
            <w:tcW w:w="5670" w:type="dxa"/>
            <w:tcBorders/>
          </w:tcPr>
          <w:p>
            <w:pPr>
              <w:pStyle w:val="style0"/>
              <w:rPr/>
            </w:pPr>
            <w:r>
              <w:rPr>
                <w:rFonts w:hint="eastAsia"/>
              </w:rPr>
              <w:t>提供相应对账功能：</w:t>
            </w:r>
          </w:p>
          <w:p>
            <w:pPr>
              <w:pStyle w:val="style0"/>
              <w:rPr/>
            </w:pPr>
            <w:r>
              <w:rPr>
                <w:rFonts w:hint="eastAsia"/>
              </w:rPr>
              <w:t>1、86个社康中心的对账，由南山医疗集团统一管理；</w:t>
            </w:r>
          </w:p>
          <w:p>
            <w:pPr>
              <w:pStyle w:val="style0"/>
              <w:rPr/>
            </w:pPr>
            <w:r>
              <w:rPr>
                <w:rFonts w:hint="eastAsia"/>
              </w:rPr>
              <w:t>2、蛇口医院下属2个社康中心对账，由该医院自行管理；</w:t>
            </w:r>
          </w:p>
          <w:p>
            <w:pPr>
              <w:pStyle w:val="style0"/>
              <w:rPr/>
            </w:pPr>
          </w:p>
        </w:tc>
      </w:tr>
    </w:tbl>
    <w:p>
      <w:pPr>
        <w:pStyle w:val="style2"/>
        <w:numPr>
          <w:ilvl w:val="0"/>
          <w:numId w:val="0"/>
        </w:numPr>
        <w:rPr>
          <w:rFonts w:hint="eastAsia"/>
        </w:rPr>
      </w:pPr>
    </w:p>
    <w:sectPr>
      <w:headerReference w:type="default" r:id="rId2"/>
      <w:footerReference w:type="default" r:id="rId3"/>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Cambria">
    <w:altName w:val="Cambria"/>
    <w:panose1 w:val="02040503050004030204"/>
    <w:charset w:val="00"/>
    <w:family w:val="auto"/>
    <w:pitch w:val="default"/>
    <w:sig w:usb0="E00006FF" w:usb1="420024FF" w:usb2="02000000" w:usb3="00000000" w:csb0="2000019F" w:csb1="00000000"/>
  </w:font>
  <w:font w:name="AppleExternalUIFontSimplifiedCh">
    <w:altName w:val="微软雅黑"/>
    <w:panose1 w:val="00000000000000000000"/>
    <w:charset w:val="86"/>
    <w:family w:val="auto"/>
    <w:pitch w:val="default"/>
    <w:sig w:usb0="00000000" w:usb1="00000000" w:usb2="0000001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01"/>
      <w:ind w:left="-75" w:right="-75"/>
      <w:rPr>
        <w:rFonts w:ascii="微软雅黑" w:eastAsia="微软雅黑" w:hAnsi="微软雅黑"/>
        <w:sz w:val="18"/>
        <w:szCs w:val="18"/>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rFonts w:ascii="微软雅黑" w:hAnsi="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AF80A8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0000001"/>
    <w:multiLevelType w:val="multilevel"/>
    <w:tmpl w:val="2FA4638C"/>
    <w:lvl w:ilvl="0">
      <w:start w:val="1"/>
      <w:numFmt w:val="chineseCountingThousand"/>
      <w:pStyle w:val="style1"/>
      <w:lvlText w:val="%1、"/>
      <w:lvlJc w:val="left"/>
      <w:pPr>
        <w:ind w:left="420" w:hanging="420"/>
      </w:pPr>
      <w:rPr>
        <w:b w:val="false"/>
        <w:bCs w:val="false"/>
        <w:i w:val="false"/>
        <w:iCs w:val="false"/>
        <w:caps w:val="false"/>
        <w:smallCaps w:val="false"/>
        <w:vanish w:val="false"/>
        <w:color w:val="000000"/>
        <w:spacing w:val="0"/>
        <w:position w:val="0"/>
        <w:u w:val="none"/>
        <w:vertAlign w:val="baseline"/>
        <w14:glow w14:rad="0">
          <w14:srgbClr w14:val="000000"/>
        </w14:glow>
        <w14:shadow w14:blurRad="0" w14:ky="0" w14:dir="0" w14:kx="0" w14:algn="none" w14:sy="0" w14:sx="0" w14:dist="0">
          <w14:srgbClr w14:val="000000"/>
        </w14:shadow>
        <w14:reflection w14:blurRad="0" w14:stA="0" w14:stPos="0" w14:endA="0" w14:endPos="0" w14:dist="0" w14:dir="0" w14:fadeDir="0" w14:sx="0" w14:sy="0" w14:kx="0" w14:ky="0" w14:algn="none" w14:rotWithShape="true"/>
        <w14:scene3d xmlns:w14="http://schemas.microsoft.com/office/word/2010/wordml">
          <w14:lightRig w14:rig="threePt" w14:dir="t">
            <w14:rot w14:lat="0" w14:lon="0" w14:rev="0"/>
          </w14:lightRig>
        </w14:scene3d>
        <w14:props3d xmlns:w14="http://schemas.microsoft.com/office/word/2010/wordml" w14:extrusionH="0" w14:contourW="0" w14:prstMaterial="none"/>
        <w14:ligatures xmlns:w14="http://schemas.microsoft.com/office/word/2010/wordml" w14:val="none"/>
        <w14:numForm xmlns:w14="http://schemas.microsoft.com/office/word/2010/wordml" w14:val="default"/>
        <w14:numSpacing xmlns:w14="http://schemas.microsoft.com/office/word/2010/wordml"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45324575"/>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0000003"/>
    <w:multiLevelType w:val="multilevel"/>
    <w:tmpl w:val="57D96D1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微软雅黑" w:hAnsi="Times New Roman"/>
      <w:kern w:val="2"/>
      <w:sz w:val="21"/>
      <w:szCs w:val="24"/>
      <w:lang w:val="en-US" w:bidi="ar-SA" w:eastAsia="zh-CN"/>
    </w:rPr>
  </w:style>
  <w:style w:type="paragraph" w:styleId="style1">
    <w:name w:val="heading 1"/>
    <w:basedOn w:val="style0"/>
    <w:next w:val="style0"/>
    <w:link w:val="style4104"/>
    <w:qFormat/>
    <w:uiPriority w:val="9"/>
    <w:pPr>
      <w:keepNext/>
      <w:keepLines/>
      <w:numPr>
        <w:ilvl w:val="0"/>
        <w:numId w:val="1"/>
      </w:numPr>
      <w:spacing w:before="120" w:after="120" w:lineRule="auto" w:line="360"/>
      <w:ind w:left="0" w:hanging="200" w:hangingChars="200"/>
      <w:outlineLvl w:val="0"/>
    </w:pPr>
    <w:rPr>
      <w:b/>
      <w:bCs/>
      <w:kern w:val="44"/>
      <w:sz w:val="30"/>
      <w:szCs w:val="44"/>
    </w:rPr>
  </w:style>
  <w:style w:type="paragraph" w:styleId="style2">
    <w:name w:val="heading 2"/>
    <w:basedOn w:val="style0"/>
    <w:next w:val="style0"/>
    <w:link w:val="style4103"/>
    <w:qFormat/>
    <w:uiPriority w:val="9"/>
    <w:pPr>
      <w:keepNext/>
      <w:keepLines/>
      <w:spacing w:lineRule="auto" w:line="360"/>
      <w:outlineLvl w:val="1"/>
    </w:pPr>
    <w:rPr>
      <w:rFonts w:ascii="Cambria" w:cs="宋体" w:hAnsi="Cambria"/>
      <w:b/>
      <w:bCs/>
      <w:sz w:val="28"/>
      <w:szCs w:val="32"/>
    </w:rPr>
  </w:style>
  <w:style w:type="paragraph" w:styleId="style3">
    <w:name w:val="heading 3"/>
    <w:basedOn w:val="style0"/>
    <w:next w:val="style0"/>
    <w:link w:val="style4106"/>
    <w:qFormat/>
    <w:uiPriority w:val="9"/>
    <w:pPr>
      <w:keepNext/>
      <w:keepLines/>
      <w:spacing w:lineRule="auto" w:line="360"/>
      <w:outlineLvl w:val="2"/>
    </w:pPr>
    <w:rPr>
      <w:b/>
      <w:bCs/>
      <w:sz w:val="24"/>
      <w:szCs w:val="32"/>
    </w:rPr>
  </w:style>
  <w:style w:type="paragraph" w:styleId="style4">
    <w:name w:val="heading 4"/>
    <w:basedOn w:val="style0"/>
    <w:next w:val="style0"/>
    <w:link w:val="style4107"/>
    <w:qFormat/>
    <w:uiPriority w:val="9"/>
    <w:pPr>
      <w:keepNext/>
      <w:keepLines/>
      <w:spacing w:lineRule="auto" w:line="360"/>
      <w:outlineLvl w:val="3"/>
    </w:pPr>
    <w:rPr>
      <w:rFonts w:ascii="Cambria" w:cs="宋体" w:hAnsi="Cambria"/>
      <w:b/>
      <w:bCs/>
      <w:szCs w:val="28"/>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66">
    <w:name w:val="Body Text"/>
    <w:basedOn w:val="style0"/>
    <w:next w:val="style66"/>
    <w:link w:val="style4101"/>
    <w:uiPriority w:val="0"/>
    <w:pPr>
      <w:spacing w:after="120"/>
    </w:pPr>
    <w:rPr>
      <w:kern w:val="0"/>
      <w:sz w:val="20"/>
    </w:rPr>
  </w:style>
  <w:style w:type="paragraph" w:styleId="style153">
    <w:name w:val="Balloon Text"/>
    <w:basedOn w:val="style0"/>
    <w:next w:val="style153"/>
    <w:link w:val="style4099"/>
    <w:uiPriority w:val="99"/>
    <w:pPr/>
    <w:rPr>
      <w:sz w:val="18"/>
      <w:szCs w:val="18"/>
    </w:r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01">
    <w:name w:val="HTML Preformatted"/>
    <w:basedOn w:val="style0"/>
    <w:next w:val="style101"/>
    <w:link w:val="style4108"/>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eastAsia="宋体" w:hAnsi="宋体"/>
      <w:kern w:val="0"/>
      <w:sz w:val="24"/>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6">
    <w:name w:val="FollowedHyperlink"/>
    <w:basedOn w:val="style65"/>
    <w:next w:val="style86"/>
    <w:qFormat/>
    <w:uiPriority w:val="99"/>
    <w:rPr>
      <w:color w:val="800080"/>
      <w:u w:val="single"/>
    </w:rPr>
  </w:style>
  <w:style w:type="character" w:styleId="style85">
    <w:name w:val="Hyperlink"/>
    <w:basedOn w:val="style65"/>
    <w:next w:val="style85"/>
    <w:qFormat/>
    <w:uiPriority w:val="99"/>
    <w:rPr>
      <w:color w:val="0000ff"/>
      <w:u w:val="single"/>
    </w:rPr>
  </w:style>
  <w:style w:type="character" w:customStyle="1" w:styleId="style4097">
    <w:name w:val="页眉字符"/>
    <w:basedOn w:val="style65"/>
    <w:next w:val="style4097"/>
    <w:link w:val="style31"/>
    <w:uiPriority w:val="99"/>
    <w:rPr>
      <w:sz w:val="18"/>
      <w:szCs w:val="18"/>
    </w:rPr>
  </w:style>
  <w:style w:type="character" w:customStyle="1" w:styleId="style4098">
    <w:name w:val="页脚字符"/>
    <w:basedOn w:val="style65"/>
    <w:next w:val="style4098"/>
    <w:link w:val="style32"/>
    <w:uiPriority w:val="0"/>
    <w:rPr>
      <w:sz w:val="18"/>
      <w:szCs w:val="18"/>
    </w:rPr>
  </w:style>
  <w:style w:type="character" w:customStyle="1" w:styleId="style4099">
    <w:name w:val="批注框文本字符"/>
    <w:basedOn w:val="style65"/>
    <w:next w:val="style4099"/>
    <w:link w:val="style153"/>
    <w:qFormat/>
    <w:uiPriority w:val="99"/>
    <w:rPr>
      <w:sz w:val="18"/>
      <w:szCs w:val="18"/>
    </w:rPr>
  </w:style>
  <w:style w:type="character" w:customStyle="1" w:styleId="style4100">
    <w:name w:val="Subtle Emphasis_48f368f2-0f92-4557-a8d8-e9b091682896"/>
    <w:basedOn w:val="style65"/>
    <w:next w:val="style4100"/>
    <w:qFormat/>
    <w:uiPriority w:val="19"/>
    <w:rPr>
      <w:i/>
      <w:iCs/>
      <w:color w:val="808080"/>
      <w14:textFill>
        <w14:solidFill>
          <w14:srgbClr w14:val="7f7f7f"/>
        </w14:solidFill>
      </w14:textFill>
    </w:rPr>
  </w:style>
  <w:style w:type="character" w:customStyle="1" w:styleId="style4101">
    <w:name w:val="正文文本字符"/>
    <w:basedOn w:val="style65"/>
    <w:next w:val="style4101"/>
    <w:link w:val="style66"/>
    <w:uiPriority w:val="0"/>
    <w:rPr>
      <w:rFonts w:ascii="Times New Roman" w:cs="Times New Roman" w:eastAsia="宋体" w:hAnsi="Times New Roman"/>
      <w:kern w:val="0"/>
      <w:sz w:val="20"/>
      <w:szCs w:val="24"/>
    </w:rPr>
  </w:style>
  <w:style w:type="character" w:customStyle="1" w:styleId="style4102">
    <w:name w:val="正文文本 Char1"/>
    <w:basedOn w:val="style65"/>
    <w:next w:val="style4102"/>
    <w:uiPriority w:val="99"/>
  </w:style>
  <w:style w:type="character" w:customStyle="1" w:styleId="style4103">
    <w:name w:val="标题 2字符"/>
    <w:basedOn w:val="style65"/>
    <w:next w:val="style4103"/>
    <w:link w:val="style2"/>
    <w:uiPriority w:val="9"/>
    <w:rPr>
      <w:rFonts w:ascii="Cambria" w:cs="宋体" w:eastAsia="微软雅黑" w:hAnsi="Cambria"/>
      <w:b/>
      <w:bCs/>
      <w:sz w:val="28"/>
      <w:szCs w:val="32"/>
    </w:rPr>
  </w:style>
  <w:style w:type="character" w:customStyle="1" w:styleId="style4104">
    <w:name w:val="标题 1字符"/>
    <w:basedOn w:val="style65"/>
    <w:next w:val="style4104"/>
    <w:link w:val="style1"/>
    <w:qFormat/>
    <w:uiPriority w:val="9"/>
    <w:rPr>
      <w:rFonts w:ascii="Times New Roman" w:cs="Times New Roman" w:eastAsia="微软雅黑" w:hAnsi="Times New Roman"/>
      <w:b/>
      <w:bCs/>
      <w:kern w:val="44"/>
      <w:sz w:val="30"/>
      <w:szCs w:val="44"/>
    </w:rPr>
  </w:style>
  <w:style w:type="paragraph" w:styleId="style157">
    <w:name w:val="No Spacing"/>
    <w:next w:val="style157"/>
    <w:qFormat/>
    <w:uiPriority w:val="1"/>
    <w:pPr>
      <w:widowControl w:val="false"/>
      <w:jc w:val="both"/>
    </w:pPr>
    <w:rPr>
      <w:rFonts w:ascii="Calibri" w:cs="宋体" w:eastAsia="宋体" w:hAnsi="Calibri"/>
      <w:kern w:val="2"/>
      <w:sz w:val="21"/>
      <w:szCs w:val="22"/>
      <w:lang w:val="en-US" w:bidi="ar-SA" w:eastAsia="zh-CN"/>
    </w:rPr>
  </w:style>
  <w:style w:type="paragraph" w:styleId="style179">
    <w:name w:val="List Paragraph"/>
    <w:basedOn w:val="style0"/>
    <w:next w:val="style179"/>
    <w:qFormat/>
    <w:uiPriority w:val="34"/>
    <w:pPr>
      <w:ind w:firstLine="420" w:firstLineChars="200"/>
    </w:pPr>
    <w:rPr/>
  </w:style>
  <w:style w:type="paragraph" w:customStyle="1" w:styleId="style4105">
    <w:name w:val="列出段落1"/>
    <w:basedOn w:val="style0"/>
    <w:next w:val="style4105"/>
    <w:qFormat/>
    <w:uiPriority w:val="34"/>
    <w:pPr>
      <w:ind w:firstLine="420" w:firstLineChars="200"/>
    </w:pPr>
    <w:rPr>
      <w:rFonts w:ascii="Cambria" w:hAnsi="Cambria"/>
      <w:sz w:val="24"/>
    </w:rPr>
  </w:style>
  <w:style w:type="character" w:customStyle="1" w:styleId="style4106">
    <w:name w:val="标题 3字符"/>
    <w:basedOn w:val="style65"/>
    <w:next w:val="style4106"/>
    <w:link w:val="style3"/>
    <w:uiPriority w:val="9"/>
    <w:rPr>
      <w:rFonts w:ascii="Times New Roman" w:cs="Times New Roman" w:eastAsia="微软雅黑" w:hAnsi="Times New Roman"/>
      <w:b/>
      <w:bCs/>
      <w:sz w:val="24"/>
      <w:szCs w:val="32"/>
    </w:rPr>
  </w:style>
  <w:style w:type="character" w:customStyle="1" w:styleId="style4107">
    <w:name w:val="标题 4字符"/>
    <w:basedOn w:val="style65"/>
    <w:next w:val="style4107"/>
    <w:link w:val="style4"/>
    <w:uiPriority w:val="9"/>
    <w:rPr>
      <w:rFonts w:ascii="Cambria" w:cs="宋体" w:eastAsia="微软雅黑" w:hAnsi="Cambria"/>
      <w:b/>
      <w:bCs/>
      <w:szCs w:val="28"/>
    </w:rPr>
  </w:style>
  <w:style w:type="character" w:customStyle="1" w:styleId="style4108">
    <w:name w:val="HTML 预设格式字符"/>
    <w:basedOn w:val="style65"/>
    <w:next w:val="style4108"/>
    <w:link w:val="style101"/>
    <w:qFormat/>
    <w:uiPriority w:val="99"/>
    <w:rPr>
      <w:rFonts w:ascii="宋体" w:cs="宋体" w:eastAsia="宋体" w:hAnsi="宋体"/>
      <w:kern w:val="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2FA7-5E52-3147-B807-A16E04FC9577}">
  <ds:schemaRefs/>
</ds:datastoreItem>
</file>

<file path=docProps/app.xml><?xml version="1.0" encoding="utf-8"?>
<Properties xmlns="http://schemas.openxmlformats.org/officeDocument/2006/extended-properties" xmlns:vt="http://schemas.openxmlformats.org/officeDocument/2006/docPropsVTypes">
  <Template>金医慧通模板.dotx</Template>
  <TotalTime>62</TotalTime>
  <Words>1077</Words>
  <Pages>5</Pages>
  <Characters>1093</Characters>
  <Application>WPS Office</Application>
  <DocSecurity>0</DocSecurity>
  <Paragraphs>53</Paragraphs>
  <ScaleCrop>false</ScaleCrop>
  <LinksUpToDate>false</LinksUpToDate>
  <CharactersWithSpaces>1093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2024-04-30T02:08:00Z</dcterms:created>
  <dc:creator>Microsoft Office 用户</dc:creator>
  <lastModifiedBy>ALT-AL10</lastModifiedBy>
  <dcterms:modified xsi:type="dcterms:W3CDTF">2024-06-03T10:08:45Z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c1eee24217504412a9403d05537ecf63_23</vt:lpwstr>
  </property>
</Properties>
</file>