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3205" w:leftChars="608" w:hanging="1928" w:hangingChars="6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none"/>
        </w:rPr>
        <w:t xml:space="preserve"> </w:t>
      </w:r>
      <w:r>
        <w:rPr>
          <w:rFonts w:ascii="宋体" w:hAnsi="宋体" w:eastAsia="宋体" w:cs="宋体"/>
          <w:sz w:val="32"/>
          <w:szCs w:val="32"/>
          <w:u w:val="single"/>
        </w:rPr>
        <w:t>预防接种档案核查及疫苗查漏补种</w:t>
      </w:r>
      <w:r>
        <w:rPr>
          <w:rFonts w:hint="eastAsia" w:ascii="宋体" w:hAnsi="宋体" w:eastAsia="宋体" w:cs="宋体"/>
          <w:sz w:val="32"/>
          <w:szCs w:val="32"/>
          <w:u w:val="single"/>
          <w:lang w:val="en-US" w:eastAsia="zh-CN"/>
        </w:rPr>
        <w:t>AI</w:t>
      </w:r>
      <w:r>
        <w:rPr>
          <w:rFonts w:ascii="宋体" w:hAnsi="宋体" w:eastAsia="宋体" w:cs="宋体"/>
          <w:sz w:val="32"/>
          <w:szCs w:val="32"/>
          <w:u w:val="single"/>
        </w:rPr>
        <w:t>外呼服务</w:t>
      </w:r>
      <w:r>
        <w:rPr>
          <w:rFonts w:hint="eastAsia" w:ascii="宋体" w:hAnsi="宋体" w:eastAsia="宋体" w:cs="宋体"/>
          <w:sz w:val="32"/>
          <w:szCs w:val="32"/>
          <w:u w:val="single"/>
        </w:rPr>
        <w:t xml:space="preserve">  </w:t>
      </w:r>
      <w:r>
        <w:rPr>
          <w:rFonts w:hint="eastAsia" w:ascii="宋体" w:hAnsi="宋体"/>
          <w:b/>
          <w:bCs/>
          <w:sz w:val="32"/>
          <w:szCs w:val="32"/>
          <w:u w:val="non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w:t>
      </w:r>
      <w:r>
        <w:rPr>
          <w:rFonts w:hint="eastAsia" w:ascii="宋体" w:hAnsi="宋体"/>
          <w:bCs/>
          <w:snapToGrid w:val="0"/>
          <w:kern w:val="0"/>
          <w:sz w:val="24"/>
          <w:highlight w:val="none"/>
        </w:rPr>
        <w:t>签字，于202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10</w:t>
      </w:r>
      <w:bookmarkStart w:id="5" w:name="_GoBack"/>
      <w:bookmarkEnd w:id="5"/>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12</w:t>
      </w:r>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:00前将</w:t>
      </w:r>
      <w:r>
        <w:rPr>
          <w:rFonts w:hint="eastAsia" w:ascii="宋体" w:hAnsi="宋体"/>
          <w:b/>
          <w:bCs/>
          <w:snapToGrid w:val="0"/>
          <w:color w:val="FF0000"/>
          <w:kern w:val="0"/>
          <w:sz w:val="24"/>
          <w:highlight w:val="none"/>
        </w:rPr>
        <w:t>三份</w:t>
      </w:r>
      <w:r>
        <w:rPr>
          <w:rFonts w:hint="eastAsia" w:ascii="宋体" w:hAnsi="宋体"/>
          <w:bCs/>
          <w:snapToGrid w:val="0"/>
          <w:kern w:val="0"/>
          <w:sz w:val="24"/>
          <w:highlight w:val="none"/>
        </w:rPr>
        <w:t>纸质版院内询价响应文件( 一正二副)递</w:t>
      </w:r>
      <w:r>
        <w:rPr>
          <w:rFonts w:hint="eastAsia" w:ascii="宋体" w:hAnsi="宋体"/>
          <w:bCs/>
          <w:snapToGrid w:val="0"/>
          <w:kern w:val="0"/>
          <w:sz w:val="24"/>
        </w:rPr>
        <w:t>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何</w:t>
      </w:r>
      <w:r>
        <w:rPr>
          <w:rFonts w:hint="eastAsia" w:ascii="宋体" w:hAnsi="宋体"/>
          <w:bCs/>
          <w:snapToGrid w:val="0"/>
          <w:kern w:val="0"/>
          <w:sz w:val="24"/>
        </w:rPr>
        <w:t>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hint="eastAsia" w:ascii="宋体" w:hAnsi="宋体" w:eastAsia="宋体"/>
          <w:bCs/>
          <w:snapToGrid w:val="0"/>
          <w:kern w:val="0"/>
          <w:sz w:val="24"/>
          <w:lang w:eastAsia="zh-CN"/>
        </w:rPr>
      </w:pPr>
      <w:r>
        <w:rPr>
          <w:rFonts w:hint="eastAsia" w:ascii="宋体" w:hAnsi="宋体"/>
          <w:bCs/>
          <w:snapToGrid w:val="0"/>
          <w:kern w:val="0"/>
          <w:sz w:val="24"/>
        </w:rPr>
        <w:t>一、项目需求</w:t>
      </w:r>
      <w:r>
        <w:rPr>
          <w:rFonts w:hint="eastAsia" w:ascii="宋体" w:hAnsi="宋体"/>
          <w:bCs/>
          <w:snapToGrid w:val="0"/>
          <w:kern w:val="0"/>
          <w:sz w:val="24"/>
          <w:lang w:eastAsia="zh-CN"/>
        </w:rPr>
        <w:t>：</w:t>
      </w:r>
    </w:p>
    <w:p w14:paraId="7BF2D2A8">
      <w:pPr>
        <w:adjustRightInd w:val="0"/>
        <w:snapToGrid w:val="0"/>
        <w:spacing w:line="360" w:lineRule="auto"/>
        <w:ind w:left="420" w:leftChars="200"/>
        <w:rPr>
          <w:rFonts w:hint="eastAsia" w:ascii="宋体" w:hAnsi="宋体" w:eastAsia="宋体"/>
          <w:bCs/>
          <w:snapToGrid w:val="0"/>
          <w:kern w:val="0"/>
          <w:sz w:val="24"/>
          <w:lang w:eastAsia="zh-CN"/>
        </w:rPr>
      </w:pPr>
      <w:r>
        <w:rPr>
          <w:rFonts w:hint="eastAsia" w:ascii="宋体" w:hAnsi="宋体"/>
          <w:bCs/>
          <w:snapToGrid w:val="0"/>
          <w:kern w:val="0"/>
          <w:sz w:val="24"/>
        </w:rPr>
        <w:t>二、相关资格证</w:t>
      </w:r>
      <w:r>
        <w:rPr>
          <w:rFonts w:hint="eastAsia" w:ascii="宋体" w:hAnsi="宋体"/>
          <w:bCs/>
          <w:snapToGrid w:val="0"/>
          <w:kern w:val="0"/>
          <w:sz w:val="24"/>
          <w:highlight w:val="none"/>
        </w:rPr>
        <w:t>明</w:t>
      </w:r>
      <w:r>
        <w:rPr>
          <w:rFonts w:hint="eastAsia" w:ascii="宋体" w:hAnsi="宋体"/>
          <w:bCs/>
          <w:snapToGrid w:val="0"/>
          <w:kern w:val="0"/>
          <w:sz w:val="24"/>
          <w:highlight w:val="none"/>
          <w:lang w:eastAsia="zh-CN"/>
        </w:rPr>
        <w:t>：</w:t>
      </w:r>
      <w:r>
        <w:rPr>
          <w:rFonts w:hint="eastAsia"/>
          <w:highlight w:val="none"/>
          <w:lang w:val="en-US" w:eastAsia="zh-CN"/>
        </w:rPr>
        <w:t>能与</w:t>
      </w:r>
      <w:r>
        <w:rPr>
          <w:rFonts w:hint="eastAsia"/>
          <w:highlight w:val="none"/>
          <w:lang w:eastAsia="zh-CN"/>
        </w:rPr>
        <w:t>深圳市</w:t>
      </w:r>
      <w:r>
        <w:rPr>
          <w:rFonts w:hint="eastAsia"/>
          <w:highlight w:val="none"/>
          <w:lang w:val="en-US" w:eastAsia="zh-CN"/>
        </w:rPr>
        <w:t>免疫规划信息系统对接，外呼结果直接标记档案。</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2EEAE65C">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5C137DD">
      <w:pPr>
        <w:rPr>
          <w:b/>
          <w:bCs/>
          <w:sz w:val="28"/>
          <w:szCs w:val="28"/>
        </w:rPr>
      </w:pPr>
      <w:r>
        <w:rPr>
          <w:rFonts w:hint="eastAsia"/>
          <w:b/>
          <w:bCs/>
          <w:sz w:val="28"/>
          <w:szCs w:val="28"/>
          <w:lang w:val="en-US" w:eastAsia="zh-CN"/>
        </w:rPr>
        <w:t>一、</w:t>
      </w:r>
      <w:r>
        <w:rPr>
          <w:rFonts w:hint="eastAsia"/>
          <w:b/>
          <w:bCs/>
          <w:sz w:val="28"/>
          <w:szCs w:val="28"/>
        </w:rPr>
        <w:t>需求内容：</w:t>
      </w:r>
    </w:p>
    <w:p w14:paraId="70D0C2AE">
      <w:pPr>
        <w:widowControl/>
        <w:numPr>
          <w:ilvl w:val="0"/>
          <w:numId w:val="0"/>
        </w:numPr>
        <w:ind w:leftChars="0"/>
        <w:jc w:val="left"/>
        <w:rPr>
          <w:rFonts w:hint="eastAsia"/>
          <w:sz w:val="28"/>
          <w:szCs w:val="28"/>
        </w:rPr>
      </w:pPr>
      <w:r>
        <w:rPr>
          <w:rFonts w:hint="eastAsia"/>
          <w:sz w:val="28"/>
          <w:szCs w:val="28"/>
          <w:highlight w:val="none"/>
          <w:lang w:val="en-US" w:eastAsia="zh-CN"/>
        </w:rPr>
        <w:t>1.</w:t>
      </w:r>
      <w:r>
        <w:rPr>
          <w:rFonts w:hint="eastAsia"/>
          <w:sz w:val="28"/>
          <w:szCs w:val="28"/>
          <w:highlight w:val="none"/>
        </w:rPr>
        <w:t>申请询价一家服务商</w:t>
      </w:r>
      <w:r>
        <w:rPr>
          <w:rFonts w:hint="eastAsia"/>
          <w:sz w:val="28"/>
          <w:szCs w:val="28"/>
          <w:highlight w:val="none"/>
          <w:lang w:eastAsia="zh-CN"/>
        </w:rPr>
        <w:t>，可</w:t>
      </w:r>
      <w:r>
        <w:rPr>
          <w:rFonts w:hint="eastAsia"/>
          <w:sz w:val="28"/>
          <w:szCs w:val="28"/>
          <w:highlight w:val="none"/>
        </w:rPr>
        <w:t>直接对</w:t>
      </w:r>
      <w:r>
        <w:rPr>
          <w:rFonts w:hint="eastAsia"/>
          <w:sz w:val="28"/>
          <w:szCs w:val="28"/>
          <w:highlight w:val="none"/>
          <w:lang w:val="en-US" w:eastAsia="zh-CN"/>
        </w:rPr>
        <w:t>南山区医疗集团总部各预防接种门诊在</w:t>
      </w:r>
      <w:r>
        <w:rPr>
          <w:rFonts w:hint="eastAsia"/>
          <w:sz w:val="28"/>
          <w:szCs w:val="28"/>
          <w:highlight w:val="none"/>
          <w:lang w:eastAsia="zh-CN"/>
        </w:rPr>
        <w:t>深圳市</w:t>
      </w:r>
      <w:r>
        <w:rPr>
          <w:rFonts w:hint="eastAsia"/>
          <w:sz w:val="28"/>
          <w:szCs w:val="28"/>
          <w:highlight w:val="none"/>
          <w:lang w:val="en-US" w:eastAsia="zh-CN"/>
        </w:rPr>
        <w:t>免疫规划信息</w:t>
      </w:r>
      <w:r>
        <w:rPr>
          <w:rFonts w:hint="eastAsia"/>
          <w:sz w:val="28"/>
          <w:szCs w:val="28"/>
          <w:highlight w:val="none"/>
        </w:rPr>
        <w:t>系统内</w:t>
      </w:r>
      <w:r>
        <w:rPr>
          <w:rFonts w:hint="eastAsia"/>
          <w:sz w:val="28"/>
          <w:szCs w:val="28"/>
          <w:highlight w:val="none"/>
          <w:lang w:val="en-US" w:eastAsia="zh-CN"/>
        </w:rPr>
        <w:t>流动档案及漏</w:t>
      </w:r>
      <w:r>
        <w:rPr>
          <w:rFonts w:hint="eastAsia"/>
          <w:sz w:val="28"/>
          <w:szCs w:val="28"/>
          <w:highlight w:val="none"/>
        </w:rPr>
        <w:t>种儿童进行AI外呼，</w:t>
      </w:r>
      <w:r>
        <w:rPr>
          <w:rFonts w:hint="eastAsia"/>
          <w:sz w:val="28"/>
          <w:szCs w:val="28"/>
          <w:highlight w:val="none"/>
          <w:lang w:eastAsia="zh-CN"/>
        </w:rPr>
        <w:t>且</w:t>
      </w:r>
      <w:r>
        <w:rPr>
          <w:rFonts w:hint="eastAsia"/>
          <w:sz w:val="28"/>
          <w:szCs w:val="28"/>
          <w:highlight w:val="none"/>
        </w:rPr>
        <w:t>外呼结果</w:t>
      </w:r>
      <w:r>
        <w:rPr>
          <w:rFonts w:hint="eastAsia"/>
          <w:sz w:val="28"/>
          <w:szCs w:val="28"/>
          <w:highlight w:val="none"/>
          <w:lang w:eastAsia="zh-CN"/>
        </w:rPr>
        <w:t>可</w:t>
      </w:r>
      <w:r>
        <w:rPr>
          <w:rFonts w:hint="eastAsia"/>
          <w:sz w:val="28"/>
          <w:szCs w:val="28"/>
          <w:highlight w:val="none"/>
        </w:rPr>
        <w:t>直接标记到档案</w:t>
      </w:r>
      <w:r>
        <w:rPr>
          <w:rFonts w:hint="eastAsia"/>
          <w:sz w:val="28"/>
          <w:szCs w:val="28"/>
          <w:highlight w:val="none"/>
          <w:lang w:eastAsia="zh-CN"/>
        </w:rPr>
        <w:t>方便登记医生查看整改等。（即：日常维护、平台的整体优化与统一升级，技术咨询响应）</w:t>
      </w:r>
      <w:r>
        <w:rPr>
          <w:rFonts w:hint="eastAsia"/>
          <w:sz w:val="28"/>
          <w:szCs w:val="28"/>
          <w:highlight w:val="none"/>
        </w:rPr>
        <w:t>。</w:t>
      </w:r>
    </w:p>
    <w:p w14:paraId="7D86E382">
      <w:pPr>
        <w:widowControl/>
        <w:numPr>
          <w:ilvl w:val="0"/>
          <w:numId w:val="0"/>
        </w:numPr>
        <w:ind w:leftChars="0"/>
        <w:jc w:val="left"/>
        <w:rPr>
          <w:rFonts w:hint="eastAsia"/>
          <w:sz w:val="28"/>
          <w:szCs w:val="28"/>
          <w:highlight w:val="none"/>
          <w:lang w:val="en-US" w:eastAsia="zh-CN"/>
        </w:rPr>
      </w:pPr>
      <w:r>
        <w:rPr>
          <w:rFonts w:hint="eastAsia"/>
          <w:sz w:val="28"/>
          <w:szCs w:val="28"/>
          <w:highlight w:val="none"/>
          <w:lang w:val="en-US" w:eastAsia="zh-CN"/>
        </w:rPr>
        <w:t>2.服务商应在合同期内为南山区医疗集团总部的所有预防接种门诊提供智能外呼的相关服务（未接通不算），并提供智能催种功能的运营维护。外呼名单为深圳市免疫规划信息系统内未种名单或流动儿童名单，社康可自行选择外呼范围及外呼时间，外呼结果直接标记到信息系统档案中。外呼产生总金额（外呼数量*单价）不超过46000元。</w:t>
      </w:r>
    </w:p>
    <w:p w14:paraId="6D55490C">
      <w:pPr>
        <w:widowControl/>
        <w:numPr>
          <w:ilvl w:val="0"/>
          <w:numId w:val="0"/>
        </w:numPr>
        <w:ind w:leftChars="0"/>
        <w:jc w:val="left"/>
        <w:rPr>
          <w:rFonts w:hint="default"/>
          <w:sz w:val="28"/>
          <w:szCs w:val="28"/>
          <w:highlight w:val="none"/>
          <w:lang w:val="en-US" w:eastAsia="zh-CN"/>
        </w:rPr>
      </w:pPr>
      <w:r>
        <w:rPr>
          <w:rFonts w:hint="eastAsia"/>
          <w:sz w:val="28"/>
          <w:szCs w:val="28"/>
          <w:highlight w:val="none"/>
          <w:lang w:val="en-US" w:eastAsia="zh-CN"/>
        </w:rPr>
        <w:t>3.外呼话术符合深圳市疾控中心要求，具体双方协商一致。</w:t>
      </w:r>
    </w:p>
    <w:p w14:paraId="1F66DF5E">
      <w:pPr>
        <w:numPr>
          <w:ilvl w:val="0"/>
          <w:numId w:val="0"/>
        </w:numPr>
        <w:jc w:val="left"/>
        <w:rPr>
          <w:rFonts w:hint="eastAsia"/>
          <w:sz w:val="28"/>
          <w:szCs w:val="28"/>
          <w:highlight w:val="none"/>
          <w:lang w:val="en-US" w:eastAsia="zh-CN"/>
        </w:rPr>
      </w:pPr>
      <w:r>
        <w:rPr>
          <w:rFonts w:hint="eastAsia"/>
          <w:sz w:val="28"/>
          <w:szCs w:val="28"/>
          <w:highlight w:val="none"/>
          <w:lang w:val="en-US" w:eastAsia="zh-CN"/>
        </w:rPr>
        <w:t>4.服务商要保证智能外呼服务和使用的第三方平台质量稳定可靠，信息安全，不得泄露相关信息，并保证服务性能和可靠性符合工信部相关规范和标准。</w:t>
      </w:r>
    </w:p>
    <w:p w14:paraId="4F0B7F0D">
      <w:pPr>
        <w:widowControl/>
        <w:numPr>
          <w:ilvl w:val="0"/>
          <w:numId w:val="0"/>
        </w:numPr>
        <w:ind w:leftChars="0"/>
        <w:jc w:val="left"/>
        <w:rPr>
          <w:rFonts w:hint="default"/>
          <w:color w:val="000000" w:themeColor="text1"/>
          <w:sz w:val="28"/>
          <w:szCs w:val="28"/>
          <w:highlight w:val="none"/>
          <w:lang w:val="en-US" w:eastAsia="zh-CN"/>
        </w:rPr>
      </w:pPr>
      <w:r>
        <w:rPr>
          <w:rFonts w:hint="eastAsia"/>
          <w:color w:val="000000" w:themeColor="text1"/>
          <w:sz w:val="28"/>
          <w:szCs w:val="28"/>
          <w:highlight w:val="none"/>
          <w:lang w:val="en-US" w:eastAsia="zh-CN"/>
        </w:rPr>
        <w:t>5.报价要求：按成功外呼条数进行报价。报价需注明单条外呼价格，单价不得超过0.6元/条。最终结算总价以实际成功外呼条数结算，外呼产生总金额（外呼数量*单价）不超过46000元。报价应包含所有税费、技术服务费等。</w:t>
      </w:r>
    </w:p>
    <w:p w14:paraId="4E88F5E8">
      <w:pPr>
        <w:pStyle w:val="2"/>
        <w:rPr>
          <w:rFonts w:hint="default"/>
          <w:lang w:val="en-US" w:eastAsia="zh-CN"/>
        </w:rPr>
      </w:pPr>
    </w:p>
    <w:p w14:paraId="1029518D">
      <w:pPr>
        <w:widowControl/>
        <w:jc w:val="left"/>
        <w:rPr>
          <w:rFonts w:hint="eastAsia"/>
          <w:b/>
          <w:bCs/>
          <w:sz w:val="28"/>
          <w:szCs w:val="28"/>
        </w:rPr>
      </w:pPr>
      <w:r>
        <w:rPr>
          <w:rFonts w:hint="eastAsia"/>
          <w:b/>
          <w:bCs/>
          <w:sz w:val="28"/>
          <w:szCs w:val="28"/>
          <w:lang w:val="en-US" w:eastAsia="zh-CN"/>
        </w:rPr>
        <w:t>二、</w:t>
      </w:r>
      <w:r>
        <w:rPr>
          <w:rFonts w:hint="eastAsia"/>
          <w:b/>
          <w:bCs/>
          <w:sz w:val="28"/>
          <w:szCs w:val="28"/>
        </w:rPr>
        <w:t>商务要求：</w:t>
      </w:r>
    </w:p>
    <w:p w14:paraId="6635B540">
      <w:pPr>
        <w:widowControl/>
        <w:jc w:val="left"/>
        <w:rPr>
          <w:rFonts w:hint="default" w:eastAsiaTheme="minorEastAsia"/>
          <w:color w:val="auto"/>
          <w:sz w:val="28"/>
          <w:szCs w:val="28"/>
          <w:highlight w:val="none"/>
          <w:lang w:val="en-US" w:eastAsia="zh-CN"/>
        </w:rPr>
      </w:pPr>
      <w:r>
        <w:rPr>
          <w:rFonts w:hint="eastAsia"/>
          <w:color w:val="auto"/>
          <w:sz w:val="28"/>
          <w:szCs w:val="28"/>
          <w:highlight w:val="none"/>
        </w:rPr>
        <w:t>1.合同履行期限：</w:t>
      </w:r>
      <w:r>
        <w:rPr>
          <w:rFonts w:hint="eastAsia"/>
          <w:color w:val="auto"/>
          <w:sz w:val="28"/>
          <w:szCs w:val="28"/>
          <w:highlight w:val="none"/>
          <w:lang w:val="en-US" w:eastAsia="zh-CN"/>
        </w:rPr>
        <w:t>3个月</w:t>
      </w:r>
    </w:p>
    <w:p w14:paraId="12FE6AF1">
      <w:pPr>
        <w:widowControl/>
        <w:jc w:val="left"/>
        <w:rPr>
          <w:rFonts w:hint="eastAsia" w:eastAsiaTheme="minorEastAsia"/>
          <w:color w:val="auto"/>
          <w:sz w:val="28"/>
          <w:szCs w:val="28"/>
          <w:highlight w:val="none"/>
          <w:lang w:eastAsia="zh-CN"/>
        </w:rPr>
      </w:pPr>
      <w:r>
        <w:rPr>
          <w:rFonts w:hint="eastAsia"/>
          <w:color w:val="auto"/>
          <w:sz w:val="28"/>
          <w:szCs w:val="28"/>
          <w:highlight w:val="none"/>
        </w:rPr>
        <w:t>2.验收方式：</w:t>
      </w:r>
      <w:r>
        <w:rPr>
          <w:rFonts w:hint="eastAsia"/>
          <w:color w:val="auto"/>
          <w:sz w:val="28"/>
          <w:szCs w:val="28"/>
          <w:highlight w:val="none"/>
          <w:lang w:val="en-US" w:eastAsia="zh-CN"/>
        </w:rPr>
        <w:t>以信息系统标记的成功外呼条数为准，</w:t>
      </w:r>
      <w:r>
        <w:rPr>
          <w:rFonts w:hint="eastAsia"/>
          <w:color w:val="auto"/>
          <w:sz w:val="28"/>
          <w:szCs w:val="28"/>
          <w:highlight w:val="none"/>
          <w:lang w:eastAsia="zh-CN"/>
        </w:rPr>
        <w:t>并确认功能符合要求，运行通畅，系统本身不存在错误后，</w:t>
      </w:r>
      <w:r>
        <w:rPr>
          <w:rFonts w:hint="eastAsia"/>
          <w:color w:val="auto"/>
          <w:sz w:val="28"/>
          <w:szCs w:val="28"/>
          <w:highlight w:val="none"/>
          <w:lang w:val="en-US" w:eastAsia="zh-CN"/>
        </w:rPr>
        <w:t>各接种门诊满意度调查达90%以上</w:t>
      </w:r>
      <w:r>
        <w:rPr>
          <w:rFonts w:hint="eastAsia"/>
          <w:color w:val="auto"/>
          <w:sz w:val="28"/>
          <w:szCs w:val="28"/>
          <w:highlight w:val="none"/>
          <w:lang w:eastAsia="zh-CN"/>
        </w:rPr>
        <w:t>。</w:t>
      </w:r>
    </w:p>
    <w:p w14:paraId="155A3CFF">
      <w:pPr>
        <w:widowControl/>
        <w:jc w:val="left"/>
        <w:rPr>
          <w:rFonts w:hint="eastAsia" w:eastAsiaTheme="minorEastAsia"/>
          <w:color w:val="auto"/>
          <w:sz w:val="28"/>
          <w:szCs w:val="28"/>
          <w:highlight w:val="none"/>
          <w:lang w:eastAsia="zh-CN"/>
        </w:rPr>
      </w:pPr>
      <w:r>
        <w:rPr>
          <w:rFonts w:hint="eastAsia"/>
          <w:color w:val="auto"/>
          <w:sz w:val="28"/>
          <w:szCs w:val="28"/>
          <w:highlight w:val="none"/>
        </w:rPr>
        <w:t>3.付款方式：</w:t>
      </w:r>
      <w:r>
        <w:rPr>
          <w:rFonts w:hint="eastAsia"/>
          <w:color w:val="auto"/>
          <w:sz w:val="28"/>
          <w:szCs w:val="28"/>
          <w:highlight w:val="none"/>
          <w:lang w:val="en-US" w:eastAsia="zh-CN"/>
        </w:rPr>
        <w:t>2025年12月31日前完成</w:t>
      </w:r>
      <w:r>
        <w:rPr>
          <w:rFonts w:hint="eastAsia"/>
          <w:color w:val="auto"/>
          <w:sz w:val="28"/>
          <w:szCs w:val="28"/>
          <w:highlight w:val="none"/>
          <w:lang w:eastAsia="zh-CN"/>
        </w:rPr>
        <w:t>验收</w:t>
      </w:r>
      <w:r>
        <w:rPr>
          <w:rFonts w:hint="eastAsia"/>
          <w:color w:val="auto"/>
          <w:sz w:val="28"/>
          <w:szCs w:val="28"/>
          <w:highlight w:val="none"/>
          <w:lang w:val="en-US" w:eastAsia="zh-CN"/>
        </w:rPr>
        <w:t>结算，</w:t>
      </w:r>
      <w:r>
        <w:rPr>
          <w:rFonts w:hint="eastAsia"/>
          <w:color w:val="auto"/>
          <w:sz w:val="28"/>
          <w:szCs w:val="28"/>
          <w:highlight w:val="none"/>
          <w:lang w:eastAsia="zh-CN"/>
        </w:rPr>
        <w:t>服务商提供的发票走报销流程</w:t>
      </w:r>
      <w:r>
        <w:rPr>
          <w:rFonts w:hint="eastAsia"/>
          <w:color w:val="auto"/>
          <w:sz w:val="28"/>
          <w:szCs w:val="28"/>
          <w:highlight w:val="none"/>
          <w:lang w:val="en-US" w:eastAsia="zh-CN"/>
        </w:rPr>
        <w:t>100%一次性</w:t>
      </w:r>
      <w:r>
        <w:rPr>
          <w:rFonts w:hint="eastAsia"/>
          <w:color w:val="auto"/>
          <w:sz w:val="28"/>
          <w:szCs w:val="28"/>
          <w:highlight w:val="none"/>
          <w:lang w:eastAsia="zh-CN"/>
        </w:rPr>
        <w:t>支付</w:t>
      </w:r>
      <w:r>
        <w:rPr>
          <w:rFonts w:hint="eastAsia"/>
          <w:color w:val="auto"/>
          <w:sz w:val="28"/>
          <w:szCs w:val="28"/>
          <w:highlight w:val="none"/>
        </w:rPr>
        <w:t>，所需经费从扩大免疫规划专项经费列支</w:t>
      </w:r>
      <w:r>
        <w:rPr>
          <w:rFonts w:hint="eastAsia"/>
          <w:color w:val="auto"/>
          <w:sz w:val="28"/>
          <w:szCs w:val="28"/>
          <w:highlight w:val="none"/>
          <w:lang w:eastAsia="zh-CN"/>
        </w:rPr>
        <w:t>。</w:t>
      </w:r>
    </w:p>
    <w:p w14:paraId="6422872A">
      <w:pPr>
        <w:widowControl/>
        <w:jc w:val="left"/>
        <w:rPr>
          <w:rFonts w:hint="default" w:eastAsiaTheme="minorEastAsia"/>
          <w:color w:val="auto"/>
          <w:sz w:val="28"/>
          <w:szCs w:val="28"/>
          <w:highlight w:val="none"/>
          <w:lang w:val="en-US" w:eastAsia="zh-CN"/>
        </w:rPr>
      </w:pPr>
      <w:r>
        <w:rPr>
          <w:rFonts w:hint="eastAsia"/>
          <w:color w:val="auto"/>
          <w:sz w:val="28"/>
          <w:szCs w:val="28"/>
          <w:highlight w:val="none"/>
        </w:rPr>
        <w:t>4.免费保修期：</w:t>
      </w:r>
      <w:r>
        <w:rPr>
          <w:rFonts w:hint="eastAsia"/>
          <w:color w:val="auto"/>
          <w:sz w:val="28"/>
          <w:szCs w:val="28"/>
          <w:highlight w:val="none"/>
          <w:lang w:val="en-US" w:eastAsia="zh-CN"/>
        </w:rPr>
        <w:t>3个月</w:t>
      </w:r>
    </w:p>
    <w:p w14:paraId="0C365A55">
      <w:pPr>
        <w:widowControl/>
        <w:jc w:val="left"/>
        <w:rPr>
          <w:rFonts w:hint="default" w:eastAsiaTheme="minorEastAsia"/>
          <w:color w:val="auto"/>
          <w:sz w:val="28"/>
          <w:szCs w:val="28"/>
          <w:highlight w:val="none"/>
          <w:lang w:val="en-US" w:eastAsia="zh-CN"/>
        </w:rPr>
      </w:pPr>
      <w:r>
        <w:rPr>
          <w:rFonts w:hint="eastAsia"/>
          <w:color w:val="auto"/>
          <w:sz w:val="28"/>
          <w:szCs w:val="28"/>
          <w:highlight w:val="none"/>
        </w:rPr>
        <w:t xml:space="preserve">5. </w:t>
      </w:r>
      <w:r>
        <w:rPr>
          <w:rFonts w:hint="eastAsia"/>
          <w:color w:val="auto"/>
          <w:sz w:val="28"/>
          <w:szCs w:val="28"/>
          <w:highlight w:val="none"/>
          <w:lang w:val="en-US" w:eastAsia="zh-CN"/>
        </w:rPr>
        <w:t>能与</w:t>
      </w:r>
      <w:r>
        <w:rPr>
          <w:rFonts w:hint="eastAsia"/>
          <w:color w:val="auto"/>
          <w:sz w:val="28"/>
          <w:szCs w:val="28"/>
          <w:highlight w:val="none"/>
          <w:lang w:eastAsia="zh-CN"/>
        </w:rPr>
        <w:t>深圳市</w:t>
      </w:r>
      <w:r>
        <w:rPr>
          <w:rFonts w:hint="eastAsia"/>
          <w:color w:val="auto"/>
          <w:sz w:val="28"/>
          <w:szCs w:val="28"/>
          <w:highlight w:val="none"/>
          <w:lang w:val="en-US" w:eastAsia="zh-CN"/>
        </w:rPr>
        <w:t>免疫规划信息系统对接，外呼结果直接标记档案。</w:t>
      </w:r>
    </w:p>
    <w:p w14:paraId="10E8D06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53FBE60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rPr>
      </w:pPr>
      <w:r>
        <w:rPr>
          <w:rFonts w:hint="eastAsia" w:ascii="仿宋_GB2312" w:hAnsi="仿宋_GB2312" w:eastAsia="仿宋_GB2312" w:cs="仿宋_GB2312"/>
          <w:b/>
          <w:bCs/>
          <w:snapToGrid w:val="0"/>
          <w:color w:val="000000" w:themeColor="text1"/>
          <w:kern w:val="0"/>
          <w:sz w:val="28"/>
          <w:szCs w:val="32"/>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6"/>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47467F"/>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F081154"/>
    <w:rsid w:val="1F353636"/>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8E97BDC"/>
    <w:rsid w:val="392678C4"/>
    <w:rsid w:val="3A127140"/>
    <w:rsid w:val="3E911746"/>
    <w:rsid w:val="3F563A81"/>
    <w:rsid w:val="3FE25B2D"/>
    <w:rsid w:val="42303267"/>
    <w:rsid w:val="44000DE5"/>
    <w:rsid w:val="456914A4"/>
    <w:rsid w:val="45D4532C"/>
    <w:rsid w:val="45E74EF6"/>
    <w:rsid w:val="46EE566A"/>
    <w:rsid w:val="47AE1D32"/>
    <w:rsid w:val="47FD66C6"/>
    <w:rsid w:val="48FC114A"/>
    <w:rsid w:val="4A2F6F19"/>
    <w:rsid w:val="4C621F68"/>
    <w:rsid w:val="4DAC0334"/>
    <w:rsid w:val="5175428D"/>
    <w:rsid w:val="53C4433B"/>
    <w:rsid w:val="545C11F4"/>
    <w:rsid w:val="59B23993"/>
    <w:rsid w:val="59F45752"/>
    <w:rsid w:val="5A807519"/>
    <w:rsid w:val="5ABB3BC4"/>
    <w:rsid w:val="5C2710F9"/>
    <w:rsid w:val="5E317FAE"/>
    <w:rsid w:val="5E711D46"/>
    <w:rsid w:val="5EDB6B4A"/>
    <w:rsid w:val="615E6687"/>
    <w:rsid w:val="616421C6"/>
    <w:rsid w:val="62CF609E"/>
    <w:rsid w:val="643E547F"/>
    <w:rsid w:val="64E7316B"/>
    <w:rsid w:val="68F67A18"/>
    <w:rsid w:val="69FA35A8"/>
    <w:rsid w:val="6A995FA5"/>
    <w:rsid w:val="6AA51683"/>
    <w:rsid w:val="6D8E6A2F"/>
    <w:rsid w:val="6ED628CC"/>
    <w:rsid w:val="6EE83F45"/>
    <w:rsid w:val="6F371D0A"/>
    <w:rsid w:val="704E2D79"/>
    <w:rsid w:val="76B06742"/>
    <w:rsid w:val="78CA44FB"/>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5"/>
    <w:qFormat/>
    <w:uiPriority w:val="9"/>
    <w:pPr>
      <w:keepNext/>
      <w:keepLines/>
      <w:spacing w:before="260" w:after="260" w:line="416" w:lineRule="auto"/>
      <w:outlineLvl w:val="2"/>
    </w:pPr>
    <w:rPr>
      <w:b/>
      <w:bCs/>
      <w:sz w:val="32"/>
      <w:szCs w:val="32"/>
    </w:rPr>
  </w:style>
  <w:style w:type="paragraph" w:styleId="6">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7">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1"/>
    <w:qFormat/>
    <w:uiPriority w:val="0"/>
    <w:rPr>
      <w:rFonts w:ascii="宋体" w:hAnsi="宋体"/>
      <w:b/>
      <w:szCs w:val="28"/>
    </w:rPr>
  </w:style>
  <w:style w:type="paragraph" w:styleId="8">
    <w:name w:val="toc 7"/>
    <w:basedOn w:val="1"/>
    <w:next w:val="1"/>
    <w:semiHidden/>
    <w:qFormat/>
    <w:uiPriority w:val="0"/>
    <w:pPr>
      <w:ind w:left="2520" w:leftChars="1200"/>
    </w:pPr>
  </w:style>
  <w:style w:type="paragraph" w:styleId="9">
    <w:name w:val="List Bullet 4"/>
    <w:basedOn w:val="1"/>
    <w:qFormat/>
    <w:uiPriority w:val="0"/>
    <w:pPr>
      <w:tabs>
        <w:tab w:val="left" w:pos="1620"/>
      </w:tabs>
    </w:pPr>
    <w:rPr>
      <w:szCs w:val="20"/>
    </w:rPr>
  </w:style>
  <w:style w:type="paragraph" w:styleId="10">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1">
    <w:name w:val="List Bullet"/>
    <w:basedOn w:val="1"/>
    <w:qFormat/>
    <w:uiPriority w:val="0"/>
    <w:pPr>
      <w:tabs>
        <w:tab w:val="left" w:pos="360"/>
      </w:tabs>
      <w:ind w:left="360"/>
    </w:pPr>
    <w:rPr>
      <w:szCs w:val="20"/>
    </w:rPr>
  </w:style>
  <w:style w:type="paragraph" w:styleId="12">
    <w:name w:val="Document Map"/>
    <w:basedOn w:val="1"/>
    <w:link w:val="44"/>
    <w:qFormat/>
    <w:uiPriority w:val="0"/>
    <w:pPr>
      <w:shd w:val="clear" w:color="auto" w:fill="000080"/>
    </w:pPr>
  </w:style>
  <w:style w:type="paragraph" w:styleId="13">
    <w:name w:val="annotation text"/>
    <w:basedOn w:val="1"/>
    <w:link w:val="67"/>
    <w:qFormat/>
    <w:uiPriority w:val="99"/>
    <w:pPr>
      <w:jc w:val="left"/>
    </w:pPr>
  </w:style>
  <w:style w:type="paragraph" w:styleId="14">
    <w:name w:val="Body Text 3"/>
    <w:basedOn w:val="1"/>
    <w:link w:val="66"/>
    <w:qFormat/>
    <w:uiPriority w:val="0"/>
    <w:pPr>
      <w:spacing w:after="120"/>
    </w:pPr>
    <w:rPr>
      <w:sz w:val="16"/>
      <w:szCs w:val="16"/>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3"/>
    <w:next w:val="13"/>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2"/>
    <w:qFormat/>
    <w:uiPriority w:val="0"/>
    <w:rPr>
      <w:kern w:val="2"/>
      <w:sz w:val="21"/>
      <w:szCs w:val="24"/>
      <w:shd w:val="clear" w:color="auto" w:fill="000080"/>
    </w:rPr>
  </w:style>
  <w:style w:type="character" w:customStyle="1" w:styleId="45">
    <w:name w:val="标题 3 Char"/>
    <w:link w:val="5"/>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2"/>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4"/>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6"/>
    <w:qFormat/>
    <w:uiPriority w:val="9"/>
    <w:rPr>
      <w:rFonts w:ascii="华文中宋" w:hAnsi="华文中宋" w:eastAsia="华文中宋"/>
      <w:b/>
      <w:bCs/>
      <w:kern w:val="2"/>
      <w:sz w:val="28"/>
    </w:rPr>
  </w:style>
  <w:style w:type="character" w:customStyle="1" w:styleId="56">
    <w:name w:val="正文缩进 Char"/>
    <w:link w:val="10"/>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4"/>
    <w:qFormat/>
    <w:uiPriority w:val="0"/>
    <w:rPr>
      <w:kern w:val="2"/>
      <w:sz w:val="16"/>
      <w:szCs w:val="16"/>
    </w:rPr>
  </w:style>
  <w:style w:type="character" w:customStyle="1" w:styleId="67">
    <w:name w:val="批注文字 Char"/>
    <w:link w:val="13"/>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7"/>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2767</Words>
  <Characters>2890</Characters>
  <Lines>19</Lines>
  <Paragraphs>5</Paragraphs>
  <TotalTime>0</TotalTime>
  <ScaleCrop>false</ScaleCrop>
  <LinksUpToDate>false</LinksUpToDate>
  <CharactersWithSpaces>3262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2025-10-09T01:34:41Z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AD1F4AB738C84822980CB2302EE3F02C</vt:lpwstr>
  </property>
  <property fmtid="{D5CDD505-2E9C-101B-9397-08002B2CF9AE}" pid="4" name="KSOTemplateDocerSaveRecord">
    <vt:lpwstr>eyJoZGlkIjoiZWE0YmE0ZTJkNjRmZDdiYmI5ZGYyMjM5MGM1Y2IwYjgiLCJ1c2VySWQiOiI0NTU2MzE3MDMifQ==</vt:lpwstr>
  </property>
</Properties>
</file>