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2562" w:leftChars="608" w:hanging="1285" w:hangingChars="400"/>
        <w:jc w:val="left"/>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u w:val="single"/>
        </w:rPr>
        <w:t>录制常见病种社康规范管理路径系列课程</w:t>
      </w:r>
      <w:r>
        <w:rPr>
          <w:rFonts w:hint="eastAsia" w:ascii="宋体" w:hAnsi="宋体"/>
          <w:b/>
          <w:bCs/>
          <w:sz w:val="32"/>
          <w:szCs w:val="32"/>
          <w:u w:val="single"/>
          <w:lang w:eastAsia="zh-CN"/>
        </w:rPr>
        <w:t>（</w:t>
      </w:r>
      <w:r>
        <w:rPr>
          <w:rFonts w:hint="eastAsia" w:ascii="宋体" w:hAnsi="宋体"/>
          <w:b/>
          <w:bCs/>
          <w:sz w:val="32"/>
          <w:szCs w:val="32"/>
          <w:u w:val="single"/>
          <w:lang w:val="en-US" w:eastAsia="zh-CN"/>
        </w:rPr>
        <w:t>第三次</w:t>
      </w:r>
      <w:r>
        <w:rPr>
          <w:rFonts w:hint="eastAsia" w:ascii="宋体" w:hAnsi="宋体"/>
          <w:b/>
          <w:bCs/>
          <w:sz w:val="32"/>
          <w:szCs w:val="32"/>
          <w:u w:val="single"/>
          <w:lang w:eastAsia="zh-CN"/>
        </w:rPr>
        <w:t>）</w:t>
      </w:r>
      <w:r>
        <w:rPr>
          <w:rFonts w:hint="eastAsia" w:ascii="宋体" w:hAnsi="宋体"/>
          <w:b/>
          <w:bCs/>
          <w:sz w:val="32"/>
          <w:szCs w:val="32"/>
          <w:u w:val="single"/>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5</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11</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2</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bookmarkStart w:id="5" w:name="_GoBack"/>
      <w:bookmarkEnd w:id="5"/>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04FBF85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0A15806D">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157ACE81">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53DED175">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1C49708B">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35FBDFD3">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numPr>
          <w:ilvl w:val="0"/>
          <w:numId w:val="0"/>
        </w:numPr>
        <w:spacing w:line="360" w:lineRule="auto"/>
        <w:jc w:val="center"/>
        <w:rPr>
          <w:rFonts w:hint="eastAsia" w:ascii="宋体" w:hAnsi="宋体"/>
          <w:b/>
          <w:bCs/>
          <w:snapToGrid w:val="0"/>
          <w:kern w:val="0"/>
          <w:sz w:val="36"/>
          <w:szCs w:val="32"/>
        </w:rPr>
      </w:pPr>
      <w:r>
        <w:rPr>
          <w:rFonts w:hint="eastAsia" w:ascii="宋体" w:hAnsi="宋体"/>
          <w:b/>
          <w:bCs/>
          <w:snapToGrid w:val="0"/>
          <w:kern w:val="0"/>
          <w:sz w:val="36"/>
          <w:szCs w:val="32"/>
          <w:lang w:val="en-US" w:eastAsia="zh-CN"/>
        </w:rPr>
        <w:t>一、</w:t>
      </w:r>
      <w:r>
        <w:rPr>
          <w:rFonts w:hint="eastAsia" w:ascii="宋体" w:hAnsi="宋体"/>
          <w:b/>
          <w:bCs/>
          <w:snapToGrid w:val="0"/>
          <w:kern w:val="0"/>
          <w:sz w:val="36"/>
          <w:szCs w:val="32"/>
        </w:rPr>
        <w:t>项目需求</w:t>
      </w:r>
    </w:p>
    <w:p w14:paraId="27423CBC">
      <w:pPr>
        <w:numPr>
          <w:ilvl w:val="0"/>
          <w:numId w:val="0"/>
        </w:numPr>
        <w:spacing w:line="360" w:lineRule="auto"/>
        <w:ind w:firstLine="560" w:firstLineChars="200"/>
        <w:jc w:val="both"/>
        <w:rPr>
          <w:rFonts w:hint="eastAsia" w:ascii="方正仿宋_GB2312" w:hAnsi="方正仿宋_GB2312" w:eastAsia="方正仿宋_GB2312" w:cs="方正仿宋_GB2312"/>
          <w:b w:val="0"/>
          <w:bCs w:val="0"/>
          <w:snapToGrid w:val="0"/>
          <w:kern w:val="0"/>
          <w:sz w:val="28"/>
          <w:szCs w:val="28"/>
        </w:rPr>
      </w:pPr>
      <w:r>
        <w:rPr>
          <w:rFonts w:hint="eastAsia" w:ascii="方正仿宋_GB2312" w:hAnsi="方正仿宋_GB2312" w:eastAsia="方正仿宋_GB2312" w:cs="方正仿宋_GB2312"/>
          <w:b w:val="0"/>
          <w:bCs w:val="0"/>
          <w:snapToGrid w:val="0"/>
          <w:kern w:val="0"/>
          <w:sz w:val="28"/>
          <w:szCs w:val="28"/>
        </w:rPr>
        <w:t>为进一步提升社康机构对常见病、多发病的诊疗能力，规范全科诊疗行为，保障医疗安全和服务质量，特录制《常见病种社康规范管理路径系列课程》，为社康医务人员提供科学、系统、可操作的诊疗路径指导，提升全科医疗服务的规范化、同质化水平，具体需求如下：</w:t>
      </w:r>
    </w:p>
    <w:p w14:paraId="246C1A9E">
      <w:pPr>
        <w:numPr>
          <w:ilvl w:val="0"/>
          <w:numId w:val="0"/>
        </w:num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highlight w:val="none"/>
          <w:lang w:val="en-US" w:eastAsia="zh-CN"/>
        </w:rPr>
      </w:pPr>
      <w:r>
        <w:rPr>
          <w:rFonts w:hint="eastAsia" w:ascii="方正仿宋_GB2312" w:hAnsi="方正仿宋_GB2312" w:eastAsia="方正仿宋_GB2312" w:cs="方正仿宋_GB2312"/>
          <w:b w:val="0"/>
          <w:bCs w:val="0"/>
          <w:snapToGrid w:val="0"/>
          <w:kern w:val="0"/>
          <w:sz w:val="28"/>
          <w:szCs w:val="28"/>
          <w:highlight w:val="none"/>
          <w:lang w:eastAsia="zh-CN"/>
        </w:rPr>
        <w:t>（</w:t>
      </w:r>
      <w:r>
        <w:rPr>
          <w:rFonts w:hint="eastAsia" w:ascii="方正仿宋_GB2312" w:hAnsi="方正仿宋_GB2312" w:eastAsia="方正仿宋_GB2312" w:cs="方正仿宋_GB2312"/>
          <w:b w:val="0"/>
          <w:bCs w:val="0"/>
          <w:snapToGrid w:val="0"/>
          <w:kern w:val="0"/>
          <w:sz w:val="28"/>
          <w:szCs w:val="28"/>
          <w:highlight w:val="none"/>
          <w:lang w:val="en-US" w:eastAsia="zh-CN"/>
        </w:rPr>
        <w:t>一</w:t>
      </w:r>
      <w:r>
        <w:rPr>
          <w:rFonts w:hint="eastAsia" w:ascii="方正仿宋_GB2312" w:hAnsi="方正仿宋_GB2312" w:eastAsia="方正仿宋_GB2312" w:cs="方正仿宋_GB2312"/>
          <w:b w:val="0"/>
          <w:bCs w:val="0"/>
          <w:snapToGrid w:val="0"/>
          <w:kern w:val="0"/>
          <w:sz w:val="28"/>
          <w:szCs w:val="28"/>
          <w:highlight w:val="none"/>
          <w:lang w:eastAsia="zh-CN"/>
        </w:rPr>
        <w:t>）</w:t>
      </w:r>
      <w:r>
        <w:rPr>
          <w:rFonts w:hint="eastAsia" w:ascii="方正仿宋_GB2312" w:hAnsi="方正仿宋_GB2312" w:eastAsia="方正仿宋_GB2312" w:cs="方正仿宋_GB2312"/>
          <w:b w:val="0"/>
          <w:bCs w:val="0"/>
          <w:snapToGrid w:val="0"/>
          <w:kern w:val="0"/>
          <w:sz w:val="28"/>
          <w:szCs w:val="28"/>
          <w:highlight w:val="none"/>
        </w:rPr>
        <w:t>需求</w:t>
      </w:r>
      <w:r>
        <w:rPr>
          <w:rFonts w:hint="eastAsia" w:ascii="方正仿宋_GB2312" w:hAnsi="方正仿宋_GB2312" w:eastAsia="方正仿宋_GB2312" w:cs="方正仿宋_GB2312"/>
          <w:b w:val="0"/>
          <w:bCs w:val="0"/>
          <w:snapToGrid w:val="0"/>
          <w:kern w:val="0"/>
          <w:sz w:val="28"/>
          <w:szCs w:val="28"/>
          <w:highlight w:val="none"/>
          <w:lang w:val="en-US" w:eastAsia="zh-CN"/>
        </w:rPr>
        <w:t>类型</w:t>
      </w:r>
    </w:p>
    <w:p w14:paraId="17017D57">
      <w:pPr>
        <w:numPr>
          <w:ilvl w:val="0"/>
          <w:numId w:val="0"/>
        </w:num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highlight w:val="none"/>
          <w:lang w:val="en-US" w:eastAsia="zh-CN"/>
        </w:rPr>
      </w:pPr>
      <w:r>
        <w:rPr>
          <w:rFonts w:hint="eastAsia" w:ascii="方正仿宋_GB2312" w:hAnsi="方正仿宋_GB2312" w:eastAsia="方正仿宋_GB2312" w:cs="方正仿宋_GB2312"/>
          <w:b w:val="0"/>
          <w:bCs w:val="0"/>
          <w:snapToGrid w:val="0"/>
          <w:kern w:val="0"/>
          <w:sz w:val="28"/>
          <w:szCs w:val="28"/>
          <w:highlight w:val="none"/>
        </w:rPr>
        <w:t>录制常见病种社康规范管理路径系列课程</w:t>
      </w:r>
      <w:r>
        <w:rPr>
          <w:rFonts w:hint="eastAsia" w:ascii="方正仿宋_GB2312" w:hAnsi="方正仿宋_GB2312" w:eastAsia="方正仿宋_GB2312" w:cs="方正仿宋_GB2312"/>
          <w:b w:val="0"/>
          <w:bCs w:val="0"/>
          <w:snapToGrid w:val="0"/>
          <w:kern w:val="0"/>
          <w:sz w:val="28"/>
          <w:szCs w:val="28"/>
          <w:highlight w:val="none"/>
          <w:lang w:eastAsia="zh-CN"/>
        </w:rPr>
        <w:t>（</w:t>
      </w:r>
      <w:r>
        <w:rPr>
          <w:rFonts w:hint="eastAsia" w:ascii="方正仿宋_GB2312" w:hAnsi="方正仿宋_GB2312" w:eastAsia="方正仿宋_GB2312" w:cs="方正仿宋_GB2312"/>
          <w:b w:val="0"/>
          <w:bCs w:val="0"/>
          <w:snapToGrid w:val="0"/>
          <w:kern w:val="0"/>
          <w:sz w:val="28"/>
          <w:szCs w:val="28"/>
          <w:highlight w:val="none"/>
          <w:lang w:val="en-US" w:eastAsia="zh-CN"/>
        </w:rPr>
        <w:t>第三次</w:t>
      </w:r>
      <w:r>
        <w:rPr>
          <w:rFonts w:hint="eastAsia" w:ascii="方正仿宋_GB2312" w:hAnsi="方正仿宋_GB2312" w:eastAsia="方正仿宋_GB2312" w:cs="方正仿宋_GB2312"/>
          <w:b w:val="0"/>
          <w:bCs w:val="0"/>
          <w:snapToGrid w:val="0"/>
          <w:kern w:val="0"/>
          <w:sz w:val="28"/>
          <w:szCs w:val="28"/>
          <w:highlight w:val="none"/>
          <w:lang w:eastAsia="zh-CN"/>
        </w:rPr>
        <w:t>）</w:t>
      </w:r>
    </w:p>
    <w:p w14:paraId="726AFE70">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（二）数量</w:t>
      </w:r>
    </w:p>
    <w:p w14:paraId="6E3CFC54">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1.完成录制28个常见病种社康规范管理路径系列课程（其中1个课程分为上下节，共29节）；</w:t>
      </w:r>
    </w:p>
    <w:p w14:paraId="19ADD54B">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2.每节课程时间≥30分钟。</w:t>
      </w:r>
    </w:p>
    <w:p w14:paraId="30A32E64">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（三）规格</w:t>
      </w:r>
    </w:p>
    <w:p w14:paraId="5917BD41">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1.分辨率：1080P(1920X1080）至4K主流分辨率（3840X2160）之间；</w:t>
      </w:r>
    </w:p>
    <w:p w14:paraId="7D1F0754">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2.格式：mp4、rmvb、mov、avi等兼容主流播放器；</w:t>
      </w:r>
    </w:p>
    <w:p w14:paraId="5B60A829">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3.画面比例：16:9横屏，无黑边、无变形；</w:t>
      </w:r>
    </w:p>
    <w:p w14:paraId="70297F80">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4.专业布光，确保画面明亮、层次感强，避免过曝或暗部细节丢失；</w:t>
      </w:r>
    </w:p>
    <w:p w14:paraId="45469DEC">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5.色彩还原准确，无偏色，后期需统一调色风格；</w:t>
      </w:r>
    </w:p>
    <w:p w14:paraId="0DAEA186">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6.镜头稳定（使用三脚架或稳定器），避免抖动或虚焦；</w:t>
      </w:r>
    </w:p>
    <w:p w14:paraId="34E35612">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7.音频：清晰无杂音，人声与背景音乐比例协调；</w:t>
      </w:r>
    </w:p>
    <w:p w14:paraId="1FB6DB5E">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8.后期：剪辑流畅，转场自然，避免生硬跳切；字幕准确无误（简体中文），字体大小、颜色需便于阅读；片头片尾设计简洁专业，符合医疗行业规范。</w:t>
      </w:r>
    </w:p>
    <w:p w14:paraId="16B8E828">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（四）总预算金额</w:t>
      </w:r>
    </w:p>
    <w:p w14:paraId="13100B71">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总预算不超过5万元。</w:t>
      </w:r>
    </w:p>
    <w:p w14:paraId="078A4C2C">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（五）制作要求</w:t>
      </w:r>
    </w:p>
    <w:p w14:paraId="2D65D2DB">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1.课程的制作包括拍摄、统筹、后期包装（含字幕、片头片尾、过渡特效等）、提供提词器等；</w:t>
      </w:r>
    </w:p>
    <w:p w14:paraId="043C7975">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2.拍摄及剪辑严格按照甲方的需求进行，后期如需补充拍摄镜头或增加其他内容等，甲方不予承担费用。</w:t>
      </w:r>
    </w:p>
    <w:p w14:paraId="405C411E">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（六）其他要求</w:t>
      </w:r>
    </w:p>
    <w:p w14:paraId="1A0F2FF7">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1.供应商需配备有正规资质的专业拍摄团队（含导演、摄像、灯光、剪辑师）；</w:t>
      </w:r>
    </w:p>
    <w:p w14:paraId="201835A0">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2.拍摄场地可由甲方协助协调，但设备及布景由乙方负责；</w:t>
      </w:r>
    </w:p>
    <w:p w14:paraId="29935C39">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3.版权归属甲方，未经许可不得擅自使用和传播课程内容；</w:t>
      </w:r>
    </w:p>
    <w:p w14:paraId="09337CCA">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4.由于课程录制时间可能与甲方单位的公务会议或其他工作安排存在冲突，录制计划可能需要根据实际情况进行灵活调整（包括改期或取消），我们会尽量提前通知，供应商需排期上预留一定的协调空间，以便更高效地协调拍摄档期和现场执行；</w:t>
      </w:r>
    </w:p>
    <w:p w14:paraId="089B6853">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5.有与医疗事业单位合作者、有医疗视频课程制作经历者优先。</w:t>
      </w:r>
    </w:p>
    <w:p w14:paraId="010F7AC9">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（七）团队稳定性与投入度要求</w:t>
      </w:r>
    </w:p>
    <w:p w14:paraId="1876F779">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1.核心团队锁定：中标供应商须在合同签订时，明确列出为本项目服务的核心团队成员名单（至少包括导演、主摄像、后期负责人等），未经甲方书面同意，项目实施期间不得更换名单内人员；</w:t>
      </w:r>
    </w:p>
    <w:p w14:paraId="10E8D064">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2.项目优先级：供应商需承诺将本项目置于较高优先级，确保在甲方要求的工期内，有充足的人力与设备资源保障，避免因承接其他项目而导致本项目进度延误或中断。</w:t>
      </w:r>
    </w:p>
    <w:p w14:paraId="27A57E0D">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（八）商务要求</w:t>
      </w:r>
    </w:p>
    <w:p w14:paraId="4AC8BBBE">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1.合同履行期限：</w:t>
      </w:r>
    </w:p>
    <w:p w14:paraId="2125291F">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合同签订后60日内完成全部课程拍摄及交付。</w:t>
      </w:r>
    </w:p>
    <w:p w14:paraId="0E7508A9">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2.交付方式：</w:t>
      </w:r>
    </w:p>
    <w:p w14:paraId="150B59EF">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通过网盘链接或邮箱交付。</w:t>
      </w:r>
    </w:p>
    <w:p w14:paraId="617B5FA0">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3.验收方式：</w:t>
      </w:r>
    </w:p>
    <w:p w14:paraId="6F12F0B5">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分阶段验收：首批1-2节课程作为样本验收，通过后继续后续制作；</w:t>
      </w:r>
    </w:p>
    <w:p w14:paraId="1450BB5C">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最终验收：课程全部录制完毕后甲方审核，提出整改意见后10个工作日内完成修正。</w:t>
      </w:r>
    </w:p>
    <w:p w14:paraId="607DB923">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4.付款方式：</w:t>
      </w:r>
    </w:p>
    <w:p w14:paraId="6660BF01">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（1）合同签订后支付合同总金额的30%作为预付款。</w:t>
      </w:r>
    </w:p>
    <w:p w14:paraId="29C8FDB0">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（2）进度款：全部课程拍摄完毕且样本验收通过后，支付至合同总金额的50%。</w:t>
      </w:r>
    </w:p>
    <w:p w14:paraId="7AAA1DBA">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（3）全部课程最终验收合格后，支付合同剩余的20%。</w:t>
      </w:r>
    </w:p>
    <w:p w14:paraId="21797B2A">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5.违约责任：</w:t>
      </w:r>
    </w:p>
    <w:p w14:paraId="751D0B1D">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（1）单方解约责任：合同履行期内，若乙方（供应商）无正当理由单方面解除合同，或因乙方原因导致项目无法继续履行、进度严重滞后（超过合同约定总工期50%）的，乙方应承担以下责任：</w:t>
      </w:r>
    </w:p>
    <w:p w14:paraId="2A8D8FA4">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①全额退还甲方已支付的所有款项（包括但不限于预付款、进度款）；</w:t>
      </w:r>
    </w:p>
    <w:p w14:paraId="3402D97E">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②向甲方支付合同总金额30%的违约金；</w:t>
      </w:r>
    </w:p>
    <w:p w14:paraId="078905EC">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③赔偿因此给甲方造成的全部损失（包括但不限于甲方为重新招标所支出的费用、项目延误造成的损失等）。</w:t>
      </w:r>
    </w:p>
    <w:p w14:paraId="0D2268A9">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6.供应商退出机制：</w:t>
      </w:r>
    </w:p>
    <w:p w14:paraId="6FC089B3">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若乙方因不可抗力等确无法继续履行合同，必须至少提前 15个工作日向甲方提交书面申请与证明材料，双方协商一致后，签订书面解除协议。乙方必须配合完成所有工作交接，并退还已支付但未用于本项目工作的款项。否则，仍视为乙方单方面违约。</w:t>
      </w:r>
    </w:p>
    <w:p w14:paraId="5DF888A2">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7.免费保修期：</w:t>
      </w:r>
    </w:p>
    <w:p w14:paraId="3C072600">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lang w:val="en-US" w:eastAsia="zh-CN" w:bidi="ar-SA"/>
        </w:rPr>
      </w:pPr>
      <w:r>
        <w:rPr>
          <w:rFonts w:hint="eastAsia" w:ascii="方正仿宋_GB2312" w:hAnsi="方正仿宋_GB2312" w:eastAsia="方正仿宋_GB2312" w:cs="方正仿宋_GB2312"/>
          <w:b w:val="0"/>
          <w:bCs w:val="0"/>
          <w:snapToGrid w:val="0"/>
          <w:kern w:val="0"/>
          <w:sz w:val="28"/>
          <w:szCs w:val="28"/>
          <w:lang w:val="en-US" w:eastAsia="zh-CN" w:bidi="ar-SA"/>
        </w:rPr>
        <w:t>自验收合格起1年内，免费提供视频格式转换、局部内容调整等基础服务。</w:t>
      </w:r>
    </w:p>
    <w:p w14:paraId="53FBE60E">
      <w:pPr>
        <w:adjustRightInd w:val="0"/>
        <w:snapToGrid w:val="0"/>
        <w:spacing w:line="360" w:lineRule="auto"/>
        <w:jc w:val="left"/>
        <w:rPr>
          <w:rFonts w:hint="eastAsia" w:ascii="方正仿宋_GB2312" w:hAnsi="方正仿宋_GB2312" w:eastAsia="方正仿宋_GB2312" w:cs="方正仿宋_GB2312"/>
          <w:b w:val="0"/>
          <w:bCs w:val="0"/>
          <w:snapToGrid w:val="0"/>
          <w:kern w:val="0"/>
          <w:sz w:val="28"/>
          <w:szCs w:val="28"/>
          <w:highlight w:val="cyan"/>
        </w:rPr>
      </w:pPr>
    </w:p>
    <w:p w14:paraId="41B1ED00">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rPr>
      </w:pPr>
      <w:r>
        <w:rPr>
          <w:rFonts w:hint="eastAsia" w:ascii="方正仿宋_GB2312" w:hAnsi="方正仿宋_GB2312" w:eastAsia="方正仿宋_GB2312" w:cs="方正仿宋_GB2312"/>
          <w:b/>
          <w:bCs/>
          <w:snapToGrid w:val="0"/>
          <w:color w:val="000000" w:themeColor="text1"/>
          <w:kern w:val="0"/>
          <w:sz w:val="28"/>
          <w:szCs w:val="28"/>
        </w:rPr>
        <w:t>供应商响应需求后，需求必须盖章或法人签字确定。</w:t>
      </w:r>
    </w:p>
    <w:p w14:paraId="420AF58D">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60500694">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163C2A11">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504"/>
        <w:gridCol w:w="863"/>
        <w:gridCol w:w="4"/>
        <w:gridCol w:w="1385"/>
        <w:gridCol w:w="1385"/>
        <w:gridCol w:w="1596"/>
        <w:gridCol w:w="1396"/>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7"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848"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489" w:type="pct"/>
            <w:gridSpan w:val="2"/>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782"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782"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901"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hint="eastAsia" w:ascii="宋体" w:hAnsi="宋体" w:eastAsia="宋体"/>
                <w:b/>
                <w:bCs/>
                <w:snapToGrid w:val="0"/>
                <w:kern w:val="0"/>
                <w:sz w:val="24"/>
                <w:lang w:eastAsia="zh-CN"/>
              </w:rPr>
            </w:pPr>
            <w:r>
              <w:rPr>
                <w:rFonts w:hint="eastAsia" w:ascii="宋体" w:hAnsi="宋体"/>
                <w:b/>
                <w:bCs/>
                <w:snapToGrid w:val="0"/>
                <w:kern w:val="0"/>
                <w:sz w:val="24"/>
                <w:lang w:val="en-US" w:eastAsia="zh-CN"/>
              </w:rPr>
              <w:t>总价</w:t>
            </w:r>
          </w:p>
        </w:tc>
        <w:tc>
          <w:tcPr>
            <w:tcW w:w="788"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7" w:type="pct"/>
            <w:tcBorders>
              <w:top w:val="single" w:color="auto" w:sz="4" w:space="0"/>
            </w:tcBorders>
            <w:vAlign w:val="center"/>
          </w:tcPr>
          <w:p w14:paraId="15165AEF">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1</w:t>
            </w:r>
          </w:p>
        </w:tc>
        <w:tc>
          <w:tcPr>
            <w:tcW w:w="848" w:type="pct"/>
            <w:tcBorders>
              <w:top w:val="single" w:color="auto" w:sz="4" w:space="0"/>
            </w:tcBorders>
            <w:vAlign w:val="center"/>
          </w:tcPr>
          <w:p w14:paraId="690A050C">
            <w:pPr>
              <w:adjustRightInd w:val="0"/>
              <w:snapToGrid w:val="0"/>
              <w:spacing w:line="360" w:lineRule="auto"/>
              <w:jc w:val="center"/>
              <w:rPr>
                <w:rFonts w:hint="eastAsia" w:ascii="宋体" w:hAnsi="宋体" w:eastAsia="宋体"/>
                <w:bCs/>
                <w:snapToGrid w:val="0"/>
                <w:kern w:val="0"/>
                <w:sz w:val="24"/>
                <w:lang w:eastAsia="zh-CN"/>
              </w:rPr>
            </w:pPr>
            <w:r>
              <w:rPr>
                <w:rFonts w:hint="eastAsia" w:ascii="宋体" w:hAnsi="宋体"/>
                <w:bCs/>
                <w:snapToGrid w:val="0"/>
                <w:kern w:val="0"/>
                <w:sz w:val="24"/>
              </w:rPr>
              <w:t>录制常见病种社康规范管理路径系列课程</w:t>
            </w:r>
            <w:r>
              <w:rPr>
                <w:rFonts w:hint="eastAsia" w:ascii="宋体" w:hAnsi="宋体"/>
                <w:bCs/>
                <w:snapToGrid w:val="0"/>
                <w:kern w:val="0"/>
                <w:sz w:val="24"/>
                <w:lang w:eastAsia="zh-CN"/>
              </w:rPr>
              <w:t>（</w:t>
            </w:r>
            <w:r>
              <w:rPr>
                <w:rFonts w:hint="eastAsia" w:ascii="宋体" w:hAnsi="宋体"/>
                <w:bCs/>
                <w:snapToGrid w:val="0"/>
                <w:kern w:val="0"/>
                <w:sz w:val="24"/>
                <w:lang w:val="en-US" w:eastAsia="zh-CN"/>
              </w:rPr>
              <w:t>第三次</w:t>
            </w:r>
            <w:r>
              <w:rPr>
                <w:rFonts w:hint="eastAsia" w:ascii="宋体" w:hAnsi="宋体"/>
                <w:bCs/>
                <w:snapToGrid w:val="0"/>
                <w:kern w:val="0"/>
                <w:sz w:val="24"/>
                <w:lang w:eastAsia="zh-CN"/>
              </w:rPr>
              <w:t>）</w:t>
            </w:r>
          </w:p>
          <w:p w14:paraId="6D157ACD">
            <w:pPr>
              <w:adjustRightInd w:val="0"/>
              <w:snapToGrid w:val="0"/>
              <w:spacing w:line="360" w:lineRule="auto"/>
              <w:jc w:val="center"/>
              <w:rPr>
                <w:rFonts w:ascii="宋体" w:hAnsi="宋体"/>
                <w:bCs/>
                <w:snapToGrid w:val="0"/>
                <w:kern w:val="0"/>
                <w:sz w:val="24"/>
              </w:rPr>
            </w:pPr>
          </w:p>
        </w:tc>
        <w:tc>
          <w:tcPr>
            <w:tcW w:w="489" w:type="pct"/>
            <w:gridSpan w:val="2"/>
            <w:tcBorders>
              <w:top w:val="single" w:color="auto" w:sz="4" w:space="0"/>
            </w:tcBorders>
            <w:vAlign w:val="center"/>
          </w:tcPr>
          <w:p w14:paraId="132CD51E">
            <w:pPr>
              <w:adjustRightInd w:val="0"/>
              <w:snapToGrid w:val="0"/>
              <w:spacing w:line="360" w:lineRule="auto"/>
              <w:jc w:val="center"/>
              <w:rPr>
                <w:rFonts w:hint="default" w:ascii="宋体" w:hAnsi="宋体" w:eastAsia="宋体"/>
                <w:bCs/>
                <w:snapToGrid w:val="0"/>
                <w:kern w:val="0"/>
                <w:sz w:val="24"/>
                <w:lang w:val="en-US" w:eastAsia="zh-CN"/>
              </w:rPr>
            </w:pPr>
            <w:r>
              <w:rPr>
                <w:rFonts w:hint="eastAsia" w:ascii="宋体" w:hAnsi="宋体"/>
                <w:bCs/>
                <w:snapToGrid w:val="0"/>
                <w:kern w:val="0"/>
                <w:sz w:val="24"/>
                <w:lang w:val="en-US" w:eastAsia="zh-CN"/>
              </w:rPr>
              <w:t>29</w:t>
            </w:r>
          </w:p>
        </w:tc>
        <w:tc>
          <w:tcPr>
            <w:tcW w:w="782" w:type="pct"/>
            <w:tcBorders>
              <w:top w:val="single" w:color="auto" w:sz="4" w:space="0"/>
            </w:tcBorders>
          </w:tcPr>
          <w:p w14:paraId="20294097">
            <w:pPr>
              <w:adjustRightInd w:val="0"/>
              <w:snapToGrid w:val="0"/>
              <w:spacing w:line="360" w:lineRule="auto"/>
              <w:jc w:val="center"/>
              <w:rPr>
                <w:rFonts w:hint="default" w:ascii="宋体" w:hAnsi="宋体" w:eastAsia="宋体"/>
                <w:bCs/>
                <w:snapToGrid w:val="0"/>
                <w:kern w:val="0"/>
                <w:sz w:val="24"/>
                <w:lang w:val="en-US" w:eastAsia="zh-CN"/>
              </w:rPr>
            </w:pPr>
            <w:r>
              <w:rPr>
                <w:rFonts w:hint="eastAsia" w:ascii="宋体" w:hAnsi="宋体" w:cs="宋体"/>
                <w:b w:val="0"/>
                <w:bCs w:val="0"/>
                <w:color w:val="000000" w:themeColor="text1"/>
                <w:sz w:val="28"/>
                <w:szCs w:val="28"/>
                <w:lang w:val="en-US" w:eastAsia="zh-CN"/>
              </w:rPr>
              <w:t>详见院内询价响应文件项目需求</w:t>
            </w:r>
          </w:p>
        </w:tc>
        <w:tc>
          <w:tcPr>
            <w:tcW w:w="782" w:type="pct"/>
            <w:tcBorders>
              <w:top w:val="single" w:color="auto" w:sz="4" w:space="0"/>
            </w:tcBorders>
          </w:tcPr>
          <w:p w14:paraId="0651DACE">
            <w:pPr>
              <w:adjustRightInd w:val="0"/>
              <w:snapToGrid w:val="0"/>
              <w:spacing w:line="360" w:lineRule="auto"/>
              <w:jc w:val="center"/>
              <w:rPr>
                <w:rFonts w:hint="default" w:ascii="宋体" w:hAnsi="宋体"/>
                <w:bCs/>
                <w:snapToGrid w:val="0"/>
                <w:kern w:val="0"/>
                <w:sz w:val="24"/>
                <w:lang w:val="en-US" w:eastAsia="zh-CN"/>
              </w:rPr>
            </w:pPr>
            <w:r>
              <w:rPr>
                <w:rFonts w:hint="eastAsia" w:ascii="宋体" w:hAnsi="宋体"/>
                <w:bCs/>
                <w:snapToGrid w:val="0"/>
                <w:kern w:val="0"/>
                <w:sz w:val="24"/>
                <w:lang w:val="en-US" w:eastAsia="zh-CN"/>
              </w:rPr>
              <w:t xml:space="preserve">节 </w:t>
            </w:r>
          </w:p>
        </w:tc>
        <w:tc>
          <w:tcPr>
            <w:tcW w:w="901" w:type="pct"/>
            <w:tcBorders>
              <w:top w:val="single" w:color="auto" w:sz="4" w:space="0"/>
            </w:tcBorders>
          </w:tcPr>
          <w:p w14:paraId="6AF029FC">
            <w:pPr>
              <w:adjustRightInd w:val="0"/>
              <w:snapToGrid w:val="0"/>
              <w:spacing w:line="360" w:lineRule="auto"/>
              <w:jc w:val="center"/>
              <w:rPr>
                <w:rFonts w:hint="eastAsia" w:ascii="宋体" w:hAnsi="宋体"/>
                <w:bCs/>
                <w:snapToGrid w:val="0"/>
                <w:kern w:val="0"/>
                <w:sz w:val="24"/>
                <w:lang w:val="en-US" w:eastAsia="zh-CN"/>
              </w:rPr>
            </w:pPr>
            <w:r>
              <w:rPr>
                <w:rFonts w:hint="eastAsia" w:ascii="宋体" w:hAnsi="宋体"/>
                <w:bCs/>
                <w:snapToGrid w:val="0"/>
                <w:kern w:val="0"/>
                <w:sz w:val="24"/>
                <w:lang w:val="en-US" w:eastAsia="zh-CN"/>
              </w:rPr>
              <w:t>总预算不超过5万元。</w:t>
            </w:r>
          </w:p>
          <w:p w14:paraId="2E5001B5">
            <w:pPr>
              <w:adjustRightInd w:val="0"/>
              <w:snapToGrid w:val="0"/>
              <w:spacing w:line="360" w:lineRule="auto"/>
              <w:jc w:val="center"/>
              <w:rPr>
                <w:rFonts w:hint="eastAsia" w:ascii="宋体" w:hAnsi="宋体" w:eastAsia="宋体"/>
                <w:bCs/>
                <w:snapToGrid w:val="0"/>
                <w:kern w:val="0"/>
                <w:sz w:val="24"/>
                <w:lang w:val="en-US" w:eastAsia="zh-CN"/>
              </w:rPr>
            </w:pPr>
          </w:p>
        </w:tc>
        <w:tc>
          <w:tcPr>
            <w:tcW w:w="788" w:type="pct"/>
            <w:tcBorders>
              <w:top w:val="single" w:color="auto" w:sz="4" w:space="0"/>
            </w:tcBorders>
          </w:tcPr>
          <w:p w14:paraId="138C849C">
            <w:pPr>
              <w:adjustRightInd w:val="0"/>
              <w:snapToGrid w:val="0"/>
              <w:spacing w:line="360" w:lineRule="auto"/>
              <w:jc w:val="center"/>
              <w:rPr>
                <w:rFonts w:ascii="宋体" w:hAnsi="宋体"/>
                <w:bCs/>
                <w:snapToGrid w:val="0"/>
                <w:kern w:val="0"/>
                <w:sz w:val="24"/>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56"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487" w:type="pct"/>
            <w:tcBorders>
              <w:top w:val="single" w:color="auto" w:sz="4" w:space="0"/>
              <w:bottom w:val="single" w:color="auto" w:sz="4" w:space="0"/>
            </w:tcBorders>
            <w:vAlign w:val="center"/>
          </w:tcPr>
          <w:p w14:paraId="1299D953">
            <w:pPr>
              <w:adjustRightInd w:val="0"/>
              <w:snapToGrid w:val="0"/>
              <w:spacing w:line="360" w:lineRule="auto"/>
              <w:jc w:val="center"/>
              <w:rPr>
                <w:rFonts w:ascii="宋体" w:hAnsi="宋体"/>
                <w:bCs/>
                <w:snapToGrid w:val="0"/>
                <w:kern w:val="0"/>
                <w:sz w:val="24"/>
              </w:rPr>
            </w:pPr>
          </w:p>
        </w:tc>
        <w:tc>
          <w:tcPr>
            <w:tcW w:w="3255" w:type="pct"/>
            <w:gridSpan w:val="5"/>
            <w:tcBorders>
              <w:top w:val="single" w:color="auto" w:sz="4" w:space="0"/>
              <w:bottom w:val="single" w:color="auto" w:sz="4" w:space="0"/>
            </w:tcBorders>
            <w:vAlign w:val="center"/>
          </w:tcPr>
          <w:p w14:paraId="1C04BDD1">
            <w:pPr>
              <w:adjustRightInd w:val="0"/>
              <w:snapToGrid w:val="0"/>
              <w:spacing w:line="360" w:lineRule="auto"/>
              <w:jc w:val="center"/>
              <w:rPr>
                <w:rFonts w:hint="default" w:ascii="宋体" w:hAnsi="宋体" w:eastAsia="宋体"/>
                <w:bCs/>
                <w:snapToGrid w:val="0"/>
                <w:kern w:val="0"/>
                <w:sz w:val="24"/>
                <w:lang w:val="en-US" w:eastAsia="zh-CN"/>
              </w:rPr>
            </w:pPr>
            <w:r>
              <w:rPr>
                <w:rFonts w:hint="eastAsia" w:ascii="宋体" w:hAnsi="宋体"/>
                <w:bCs/>
                <w:snapToGrid w:val="0"/>
                <w:kern w:val="0"/>
                <w:sz w:val="24"/>
                <w:lang w:val="en-US" w:eastAsia="zh-CN"/>
              </w:rPr>
              <w:t>总预算不超过5万元。</w:t>
            </w: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56"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487"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3255" w:type="pct"/>
            <w:gridSpan w:val="5"/>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D683FD-3196-4642-9EA6-D537C4A581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13A98D99-C9C4-4B37-B746-5DB940B8B7C2}"/>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D90ECF8A-A637-4362-88D8-0B7781DAD0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567CE7"/>
    <w:rsid w:val="04E71358"/>
    <w:rsid w:val="04F33767"/>
    <w:rsid w:val="05C70D93"/>
    <w:rsid w:val="072347D7"/>
    <w:rsid w:val="08BC337C"/>
    <w:rsid w:val="092C38DF"/>
    <w:rsid w:val="09EE200C"/>
    <w:rsid w:val="0A014C73"/>
    <w:rsid w:val="0AA635F7"/>
    <w:rsid w:val="0D280723"/>
    <w:rsid w:val="0FF54858"/>
    <w:rsid w:val="110B4A41"/>
    <w:rsid w:val="1152407D"/>
    <w:rsid w:val="1181541B"/>
    <w:rsid w:val="1205701D"/>
    <w:rsid w:val="122C190A"/>
    <w:rsid w:val="1422568B"/>
    <w:rsid w:val="1452414A"/>
    <w:rsid w:val="154B4D60"/>
    <w:rsid w:val="160F0030"/>
    <w:rsid w:val="16443B86"/>
    <w:rsid w:val="167B7613"/>
    <w:rsid w:val="17CD43BB"/>
    <w:rsid w:val="17F5757F"/>
    <w:rsid w:val="18D90AC3"/>
    <w:rsid w:val="1ACC0F02"/>
    <w:rsid w:val="1ACD2659"/>
    <w:rsid w:val="1ACE017F"/>
    <w:rsid w:val="1C887A8F"/>
    <w:rsid w:val="1EE47F71"/>
    <w:rsid w:val="1F081154"/>
    <w:rsid w:val="2095729A"/>
    <w:rsid w:val="21020A84"/>
    <w:rsid w:val="231F674B"/>
    <w:rsid w:val="239863D1"/>
    <w:rsid w:val="25254A0D"/>
    <w:rsid w:val="25EF3DCB"/>
    <w:rsid w:val="275E5359"/>
    <w:rsid w:val="27806CA5"/>
    <w:rsid w:val="27D41703"/>
    <w:rsid w:val="29583A35"/>
    <w:rsid w:val="299B7DC6"/>
    <w:rsid w:val="29EF1806"/>
    <w:rsid w:val="2A550045"/>
    <w:rsid w:val="2D936DA1"/>
    <w:rsid w:val="2FB06326"/>
    <w:rsid w:val="317D4289"/>
    <w:rsid w:val="31D7251E"/>
    <w:rsid w:val="31DC208A"/>
    <w:rsid w:val="342C4FCD"/>
    <w:rsid w:val="344B7F15"/>
    <w:rsid w:val="345C3DCA"/>
    <w:rsid w:val="355251D2"/>
    <w:rsid w:val="35D95EFE"/>
    <w:rsid w:val="38E97BDC"/>
    <w:rsid w:val="392678C4"/>
    <w:rsid w:val="39BF18AF"/>
    <w:rsid w:val="3A127140"/>
    <w:rsid w:val="3B2F65C0"/>
    <w:rsid w:val="3E911746"/>
    <w:rsid w:val="3F563A81"/>
    <w:rsid w:val="3FE25B2D"/>
    <w:rsid w:val="3FF613CD"/>
    <w:rsid w:val="42303267"/>
    <w:rsid w:val="44000DE5"/>
    <w:rsid w:val="44EA7FB8"/>
    <w:rsid w:val="456914A4"/>
    <w:rsid w:val="45D4532C"/>
    <w:rsid w:val="45E74EF6"/>
    <w:rsid w:val="46935C55"/>
    <w:rsid w:val="46EE566A"/>
    <w:rsid w:val="47AE1D32"/>
    <w:rsid w:val="47FD66C6"/>
    <w:rsid w:val="48FC114A"/>
    <w:rsid w:val="4A2F6F19"/>
    <w:rsid w:val="4C3E72B8"/>
    <w:rsid w:val="4DAC0334"/>
    <w:rsid w:val="5175428D"/>
    <w:rsid w:val="53C4433B"/>
    <w:rsid w:val="545C11F4"/>
    <w:rsid w:val="59B23993"/>
    <w:rsid w:val="59F45752"/>
    <w:rsid w:val="5A807519"/>
    <w:rsid w:val="5C2710F9"/>
    <w:rsid w:val="5E317FAE"/>
    <w:rsid w:val="5E711D46"/>
    <w:rsid w:val="5EDB6B4A"/>
    <w:rsid w:val="615E6687"/>
    <w:rsid w:val="616421C6"/>
    <w:rsid w:val="62CF609E"/>
    <w:rsid w:val="643E547F"/>
    <w:rsid w:val="64E7316B"/>
    <w:rsid w:val="68F67A18"/>
    <w:rsid w:val="69FA35A8"/>
    <w:rsid w:val="6A356EA0"/>
    <w:rsid w:val="6A995FA5"/>
    <w:rsid w:val="6AA51683"/>
    <w:rsid w:val="6D8E6A2F"/>
    <w:rsid w:val="6ED628CC"/>
    <w:rsid w:val="6EE83F45"/>
    <w:rsid w:val="6F371D0A"/>
    <w:rsid w:val="704E2D79"/>
    <w:rsid w:val="76B06742"/>
    <w:rsid w:val="77972F48"/>
    <w:rsid w:val="78CA44FB"/>
    <w:rsid w:val="7A644C81"/>
    <w:rsid w:val="7D8B1C46"/>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3673</Words>
  <Characters>3845</Characters>
  <Lines>19</Lines>
  <Paragraphs>5</Paragraphs>
  <TotalTime>3</TotalTime>
  <ScaleCrop>false</ScaleCrop>
  <LinksUpToDate>false</LinksUpToDate>
  <CharactersWithSpaces>4208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2025-10-28T08:50:49Z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AD1F4AB738C84822980CB2302EE3F02C</vt:lpwstr>
  </property>
  <property fmtid="{D5CDD505-2E9C-101B-9397-08002B2CF9AE}" pid="4" name="KSOTemplateDocerSaveRecord">
    <vt:lpwstr>eyJoZGlkIjoiMDNmYjdhNDg0YTM3MTNhNWJkNDdjYjEwMTgzNjhkYzciLCJ1c2VySWQiOiI0NTU2MzE3MDMifQ==</vt:lpwstr>
  </property>
</Properties>
</file>