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highlight w:val="none"/>
        </w:rPr>
      </w:pPr>
      <w:r>
        <w:rPr>
          <w:rFonts w:hint="eastAsia" w:ascii="宋体" w:hAnsi="宋体"/>
          <w:b/>
          <w:bCs/>
          <w:sz w:val="32"/>
          <w:szCs w:val="32"/>
        </w:rPr>
        <w:t>项目名称：</w:t>
      </w:r>
      <w:r>
        <w:rPr>
          <w:rFonts w:hint="eastAsia" w:ascii="宋体" w:hAnsi="宋体"/>
          <w:b/>
          <w:bCs/>
          <w:sz w:val="32"/>
          <w:szCs w:val="32"/>
          <w:u w:val="single"/>
        </w:rPr>
        <w:t xml:space="preserve"> </w:t>
      </w:r>
      <w:r>
        <w:rPr>
          <w:rFonts w:hint="eastAsia" w:ascii="仿宋_GB2312" w:hAnsi="仿宋_GB2312" w:eastAsia="仿宋_GB2312" w:cs="仿宋_GB2312"/>
          <w:b/>
          <w:bCs/>
          <w:snapToGrid w:val="0"/>
          <w:kern w:val="0"/>
          <w:sz w:val="28"/>
          <w:szCs w:val="32"/>
          <w:highlight w:val="none"/>
          <w:u w:val="single"/>
        </w:rPr>
        <w:t>南山区医疗集团总部2026年度医学装备轮换项目概算编制服务</w:t>
      </w:r>
      <w:r>
        <w:rPr>
          <w:rFonts w:hint="eastAsia" w:ascii="宋体" w:hAnsi="宋体"/>
          <w:b/>
          <w:bCs/>
          <w:sz w:val="32"/>
          <w:szCs w:val="32"/>
          <w:highlight w:val="none"/>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12</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7</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49D65F8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根据工作需要，</w:t>
      </w:r>
      <w:r>
        <w:rPr>
          <w:rFonts w:hint="eastAsia" w:ascii="仿宋_GB2312" w:hAnsi="仿宋_GB2312" w:eastAsia="仿宋_GB2312" w:cs="仿宋_GB2312"/>
          <w:b w:val="0"/>
          <w:bCs w:val="0"/>
          <w:snapToGrid w:val="0"/>
          <w:kern w:val="0"/>
          <w:sz w:val="28"/>
          <w:szCs w:val="32"/>
          <w:highlight w:val="none"/>
        </w:rPr>
        <w:t>拟采购</w:t>
      </w:r>
      <w:r>
        <w:rPr>
          <w:rFonts w:hint="eastAsia" w:ascii="仿宋_GB2312" w:hAnsi="仿宋_GB2312" w:eastAsia="仿宋_GB2312" w:cs="仿宋_GB2312"/>
          <w:b w:val="0"/>
          <w:bCs w:val="0"/>
          <w:snapToGrid w:val="0"/>
          <w:kern w:val="0"/>
          <w:sz w:val="28"/>
          <w:szCs w:val="32"/>
          <w:highlight w:val="none"/>
          <w:u w:val="single"/>
        </w:rPr>
        <w:t>南山区医疗集团总部2026年度医学装备轮换项目概算编制服务</w:t>
      </w:r>
      <w:r>
        <w:rPr>
          <w:rFonts w:hint="eastAsia" w:ascii="仿宋_GB2312" w:hAnsi="仿宋_GB2312" w:eastAsia="仿宋_GB2312" w:cs="仿宋_GB2312"/>
          <w:b w:val="0"/>
          <w:bCs w:val="0"/>
          <w:snapToGrid w:val="0"/>
          <w:kern w:val="0"/>
          <w:sz w:val="28"/>
          <w:szCs w:val="32"/>
          <w:highlight w:val="none"/>
        </w:rPr>
        <w:t>，项目预算不超过</w:t>
      </w:r>
      <w:r>
        <w:rPr>
          <w:rFonts w:hint="eastAsia" w:ascii="仿宋_GB2312" w:hAnsi="仿宋_GB2312" w:eastAsia="仿宋_GB2312" w:cs="仿宋_GB2312"/>
          <w:b w:val="0"/>
          <w:bCs w:val="0"/>
          <w:snapToGrid w:val="0"/>
          <w:kern w:val="0"/>
          <w:sz w:val="28"/>
          <w:szCs w:val="32"/>
          <w:highlight w:val="none"/>
          <w:lang w:val="en-US" w:eastAsia="zh-CN"/>
        </w:rPr>
        <w:t>27500</w:t>
      </w:r>
      <w:r>
        <w:rPr>
          <w:rFonts w:hint="eastAsia" w:ascii="仿宋_GB2312" w:hAnsi="仿宋_GB2312" w:eastAsia="仿宋_GB2312" w:cs="仿宋_GB2312"/>
          <w:b w:val="0"/>
          <w:bCs w:val="0"/>
          <w:snapToGrid w:val="0"/>
          <w:kern w:val="0"/>
          <w:sz w:val="28"/>
          <w:szCs w:val="32"/>
          <w:highlight w:val="none"/>
        </w:rPr>
        <w:t>元人民币。</w:t>
      </w:r>
    </w:p>
    <w:p w14:paraId="73B0066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lang w:val="en-US" w:eastAsia="zh-CN" w:bidi="ar-SA"/>
        </w:rPr>
        <w:t>（一）、</w:t>
      </w:r>
      <w:r>
        <w:rPr>
          <w:rFonts w:hint="eastAsia" w:ascii="仿宋_GB2312" w:hAnsi="仿宋_GB2312" w:eastAsia="仿宋_GB2312" w:cs="仿宋_GB2312"/>
          <w:b w:val="0"/>
          <w:bCs w:val="0"/>
          <w:snapToGrid w:val="0"/>
          <w:kern w:val="0"/>
          <w:sz w:val="28"/>
          <w:szCs w:val="32"/>
          <w:highlight w:val="none"/>
          <w:lang w:val="en-US" w:eastAsia="zh-CN"/>
        </w:rPr>
        <w:t>需求内容</w:t>
      </w:r>
    </w:p>
    <w:p w14:paraId="4DCACE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根据《南山区发展和改革局关于南山区医疗集团总部2026年度医学装备轮换项目可行性研究报告的批复》，项目总投资为982万元，拟采购</w:t>
      </w:r>
      <w:r>
        <w:rPr>
          <w:rFonts w:hint="default" w:ascii="仿宋_GB2312" w:hAnsi="仿宋_GB2312" w:eastAsia="仿宋_GB2312" w:cs="仿宋_GB2312"/>
          <w:b w:val="0"/>
          <w:bCs w:val="0"/>
          <w:snapToGrid w:val="0"/>
          <w:kern w:val="0"/>
          <w:sz w:val="28"/>
          <w:szCs w:val="32"/>
          <w:highlight w:val="none"/>
          <w:lang w:val="en-US" w:eastAsia="zh-CN"/>
        </w:rPr>
        <w:t>南山区医疗集团总部2026年医学装备轮换项目概算编制服务</w:t>
      </w:r>
      <w:r>
        <w:rPr>
          <w:rFonts w:hint="eastAsia" w:ascii="仿宋_GB2312" w:hAnsi="仿宋_GB2312" w:eastAsia="仿宋_GB2312" w:cs="仿宋_GB2312"/>
          <w:b w:val="0"/>
          <w:bCs w:val="0"/>
          <w:snapToGrid w:val="0"/>
          <w:kern w:val="0"/>
          <w:sz w:val="28"/>
          <w:szCs w:val="32"/>
          <w:highlight w:val="none"/>
          <w:lang w:val="en-US" w:eastAsia="zh-CN"/>
        </w:rPr>
        <w:t>，及采购人要求的其他与本项目有关的咨询服务等。项目费用参考广东省物价局、广东省计划委员会转发的《国家计委关于印发建设项目前期工作咨询收费暂行规定的通知(粤价[2000]8号)》，项目总预算不超过2.75万元人民币。</w:t>
      </w:r>
    </w:p>
    <w:p w14:paraId="567F64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（二）、服务要求</w:t>
      </w:r>
    </w:p>
    <w:p w14:paraId="78CC86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1、询价供应商资格</w:t>
      </w:r>
    </w:p>
    <w:p w14:paraId="3B3E69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在中华人民共和国内注册登记的机构，具有独立承担民事责任的能力（提供营业执照或事业单位法人证等法人证明扫描件），项目负责人为一级造价工程师。</w:t>
      </w:r>
    </w:p>
    <w:p w14:paraId="6392C6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2、编制《</w:t>
      </w:r>
      <w:r>
        <w:rPr>
          <w:rFonts w:hint="default" w:ascii="仿宋_GB2312" w:hAnsi="仿宋_GB2312" w:eastAsia="仿宋_GB2312" w:cs="仿宋_GB2312"/>
          <w:b w:val="0"/>
          <w:bCs w:val="0"/>
          <w:snapToGrid w:val="0"/>
          <w:kern w:val="0"/>
          <w:sz w:val="28"/>
          <w:szCs w:val="32"/>
          <w:highlight w:val="none"/>
          <w:lang w:val="en-US" w:eastAsia="zh-CN"/>
        </w:rPr>
        <w:t>南山区医疗集团总部2026年</w:t>
      </w:r>
      <w:r>
        <w:rPr>
          <w:rFonts w:hint="eastAsia" w:ascii="仿宋_GB2312" w:hAnsi="仿宋_GB2312" w:eastAsia="仿宋_GB2312" w:cs="仿宋_GB2312"/>
          <w:b w:val="0"/>
          <w:bCs w:val="0"/>
          <w:snapToGrid w:val="0"/>
          <w:kern w:val="0"/>
          <w:sz w:val="28"/>
          <w:szCs w:val="32"/>
          <w:highlight w:val="none"/>
          <w:lang w:val="en-US" w:eastAsia="zh-CN"/>
        </w:rPr>
        <w:t>度</w:t>
      </w:r>
      <w:r>
        <w:rPr>
          <w:rFonts w:hint="default" w:ascii="仿宋_GB2312" w:hAnsi="仿宋_GB2312" w:eastAsia="仿宋_GB2312" w:cs="仿宋_GB2312"/>
          <w:b w:val="0"/>
          <w:bCs w:val="0"/>
          <w:snapToGrid w:val="0"/>
          <w:kern w:val="0"/>
          <w:sz w:val="28"/>
          <w:szCs w:val="32"/>
          <w:highlight w:val="none"/>
          <w:lang w:val="en-US" w:eastAsia="zh-CN"/>
        </w:rPr>
        <w:t>医学装备轮换项目</w:t>
      </w:r>
      <w:r>
        <w:rPr>
          <w:rFonts w:hint="eastAsia" w:ascii="仿宋_GB2312" w:hAnsi="仿宋_GB2312" w:eastAsia="仿宋_GB2312" w:cs="仿宋_GB2312"/>
          <w:b w:val="0"/>
          <w:bCs w:val="0"/>
          <w:snapToGrid w:val="0"/>
          <w:kern w:val="0"/>
          <w:sz w:val="28"/>
          <w:szCs w:val="32"/>
          <w:highlight w:val="none"/>
          <w:lang w:val="en-US" w:eastAsia="zh-CN"/>
        </w:rPr>
        <w:t>概算书》。</w:t>
      </w:r>
    </w:p>
    <w:p w14:paraId="463348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2.1询价供应商须承诺根据项目需求制定完整、清晰、具有明确时间节点、概算书的编制计划，并在项目进行过程中付诸实施。</w:t>
      </w:r>
    </w:p>
    <w:p w14:paraId="2458D4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2.2询价供应商须承诺根据项目需求制定完善的质量保障措施，明确项目进度中的风险点和风险应对措施，并在项目进行过程中向采购人提前预警风险。</w:t>
      </w:r>
    </w:p>
    <w:p w14:paraId="146D256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2.3询价供应商须承诺编制的项目概算书内容和深度必须符合深圳市政府相关规范要求及本文件的相关规定，产权清晰，可供采购人无偿使用；图纸和表格尺寸齐全准确，规格统一、数据详实、来源准确。</w:t>
      </w:r>
    </w:p>
    <w:p w14:paraId="08460F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2.4询价供应商须承诺交付成果包含纸质和电子文件，交付成果数量应满足上报深圳市政府及评审实际需要；</w:t>
      </w:r>
    </w:p>
    <w:p w14:paraId="42E224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3、项目的申报与审批</w:t>
      </w:r>
    </w:p>
    <w:p w14:paraId="719F96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3.1询价供应商须承诺将配合集团总部相关部门向政府相关部门进行立项申报工作，协助采购人编写概算申请报告，并为项目报批提供合理、科学和专业的建议。</w:t>
      </w:r>
    </w:p>
    <w:p w14:paraId="19B03D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3.2询价供应商须承诺将参加或配合本项目的审查、评估活动，负责阐述成果内容，协助采购人对专家或代表所提问题进行解答。</w:t>
      </w:r>
    </w:p>
    <w:p w14:paraId="6AC55D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3.3询价供应商须承诺将按照项目评审、评估活动要求修改项目申报文件，负责上报后的咨询服务直至取得有关部门对项目的批复或项目结束为止。</w:t>
      </w:r>
    </w:p>
    <w:p w14:paraId="453C32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4、保密要求</w:t>
      </w:r>
    </w:p>
    <w:p w14:paraId="25909E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4.1乙方及其工作人员应对签订、履行本协议过程中直接或间接获悉的甲方的文件、资料及信息（包括但不限于国家秘密、商业秘密、运营活动、财务信息、技术信息、医疗数据、患者信息等）予以保密。乙方应采取必要措施妥善保护前述信息及其载体。未经甲方书面同意，乙方及其工作人员不得向任何第三方泄露或自用于合同以外其他目的，但法律、法规另有规定或双方另有约定的除外。</w:t>
      </w:r>
    </w:p>
    <w:p w14:paraId="1F7202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4.2乙方及其工作人员应保护工作成果的完整性，未经甲方书面同意，不得将本项目成果及阶段性材料转让给第三方、向第三方披露或自用于合同以外其他目的。</w:t>
      </w:r>
    </w:p>
    <w:p w14:paraId="2D2E62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4.3乙方或其工作人员违反上述保密约定的，乙方应消除影响并支付合同暂定总费用30%的违约金，违约金不足以弥补甲方损失的，乙方还应赔偿。同时，甲方有权解除本合同。</w:t>
      </w:r>
    </w:p>
    <w:p w14:paraId="013D79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4.4保密期限为自合同签订之日起至保密信息通过合法途径为社会公众所知之日止。无论本合同是否生效、被撤销、变更、解除或终止的，乙方仍需执行本保密条款，且甲方无需支付任何保密费用。</w:t>
      </w:r>
    </w:p>
    <w:p w14:paraId="320644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5、违约责任</w:t>
      </w:r>
    </w:p>
    <w:p w14:paraId="6EF719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5.1乙方未按合同约定日期提交咨询成果或完成合同项下服务时，乙方从应提交日期的次日起计算，每延误一天，向甲方赔偿应收合同暂定总费用的2%作为违约金。延误20日历日或以上的，甲方有权解除合同。如甲方选择解除合同，乙方应返还已收取的咨询费用，并另行支付本合同暂定价20%的违约金，违约金不足以弥补损失的，乙方还应当继续承担赔偿责任。</w:t>
      </w:r>
    </w:p>
    <w:p w14:paraId="3E0BD0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5.2乙方交付成果不符合合同约定或验收不合格的，视为乙方未完成服务，乙方应在甲方要求期限内完成整改，由此产生的费用由乙方承担，同时不免除乙方逾期完成服务的违约责任。</w:t>
      </w:r>
    </w:p>
    <w:p w14:paraId="460330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乙方未按时整改或经整改仍不符合合同约定的，甲方有权解除本合同，不予支付任何费用，乙方应支付合同暂定总费用20%的违约金，违约金不足以弥补甲方损失的，乙方还应继续承担赔偿责任。</w:t>
      </w:r>
    </w:p>
    <w:p w14:paraId="2542BF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5.3乙方故意或过失提供错误或不合格信息而导致甲方损失的，乙方有责任采取补救措施，乙方应向甲方支付该合同暂定总费用的10%作为违约金，违约金不足以弥补甲方损失的，乙方还应当继续承担赔偿责任。</w:t>
      </w:r>
    </w:p>
    <w:p w14:paraId="204320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5.4签订本合同后，由于甲方单方面变更计划而中止或暂停本次委托，甲方按实际合格履行的工作量支付费用，同时，乙方应向甲方移交相应的工作成果。</w:t>
      </w:r>
    </w:p>
    <w:p w14:paraId="5FBA974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5.5未经甲方同意，将本合同咨询服务内容转委托或分包给他人的，甲方有权解除本合同，乙方应向甲方支付合同暂定总费用20%的违约金，违约金不足以弥补甲方损失的，乙方应予赔偿。</w:t>
      </w:r>
    </w:p>
    <w:p w14:paraId="5A20FA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5.6乙方违反合同其他约定或未按约定履行其他义务的，应支付合同暂定总费用5%的违约金，违约金不足以弥补甲方损失的，乙方应予赔偿。同时，甲方有权要求乙方限时整改、采取补救措施或单方解除本合同。</w:t>
      </w:r>
    </w:p>
    <w:p w14:paraId="2750A2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5.7乙方违约应赔偿甲方的损失，包括甲方的直接损失、间接损失及诉讼费、律师费、调查取证费、保全费、保全担保费、交通费、差旅费等为维权或应诉所支付的一切费用。</w:t>
      </w:r>
    </w:p>
    <w:p w14:paraId="102951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（三）、商务要求</w:t>
      </w:r>
    </w:p>
    <w:p w14:paraId="4E471B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1.合同履行期限：自合同签订之日起至该项目概算书获政府相关部门审批同意为止。</w:t>
      </w:r>
    </w:p>
    <w:p w14:paraId="27B414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default"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2.验收方式：以该项目概算书获政府相关部门审批同意为准。</w:t>
      </w:r>
    </w:p>
    <w:p w14:paraId="045330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lang w:val="en-US" w:eastAsia="zh-CN"/>
        </w:rPr>
      </w:pPr>
      <w:r>
        <w:rPr>
          <w:rFonts w:hint="eastAsia" w:ascii="仿宋_GB2312" w:hAnsi="仿宋_GB2312" w:eastAsia="仿宋_GB2312" w:cs="仿宋_GB2312"/>
          <w:b w:val="0"/>
          <w:bCs w:val="0"/>
          <w:snapToGrid w:val="0"/>
          <w:kern w:val="0"/>
          <w:sz w:val="28"/>
          <w:szCs w:val="32"/>
          <w:highlight w:val="none"/>
          <w:lang w:val="en-US" w:eastAsia="zh-CN"/>
        </w:rPr>
        <w:t>3.付款方式：服务费用由项目对应专项审批资金列支，待该资金下达且收到合规发票后，一次性支付。</w:t>
      </w:r>
    </w:p>
    <w:p w14:paraId="7FCF1332">
      <w:pPr>
        <w:pStyle w:val="19"/>
        <w:rPr>
          <w:rFonts w:hint="eastAsia" w:ascii="仿宋_GB2312" w:hAnsi="仿宋_GB2312" w:eastAsia="仿宋_GB2312" w:cs="仿宋_GB2312"/>
          <w:b w:val="0"/>
          <w:bCs w:val="0"/>
          <w:snapToGrid w:val="0"/>
          <w:kern w:val="0"/>
          <w:sz w:val="28"/>
          <w:szCs w:val="32"/>
          <w:highlight w:val="none"/>
          <w:lang w:val="en-US" w:eastAsia="zh-CN"/>
        </w:rPr>
      </w:pPr>
    </w:p>
    <w:p w14:paraId="1FE5F311">
      <w:pPr>
        <w:rPr>
          <w:rFonts w:hint="eastAsia" w:ascii="仿宋_GB2312" w:hAnsi="仿宋_GB2312" w:eastAsia="仿宋_GB2312" w:cs="仿宋_GB2312"/>
          <w:b w:val="0"/>
          <w:bCs w:val="0"/>
          <w:snapToGrid w:val="0"/>
          <w:kern w:val="0"/>
          <w:sz w:val="28"/>
          <w:szCs w:val="32"/>
          <w:highlight w:val="none"/>
          <w:lang w:val="en-US" w:eastAsia="zh-CN"/>
        </w:rPr>
      </w:pPr>
    </w:p>
    <w:p w14:paraId="5053BAE8">
      <w:pPr>
        <w:pStyle w:val="19"/>
        <w:rPr>
          <w:rFonts w:hint="default"/>
          <w:lang w:val="en-US" w:eastAsia="zh-CN"/>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12044F63">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7438AB41">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220FE8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515"/>
        <w:gridCol w:w="831"/>
        <w:gridCol w:w="1269"/>
        <w:gridCol w:w="1382"/>
        <w:gridCol w:w="1593"/>
        <w:gridCol w:w="1416"/>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序号</w:t>
            </w:r>
          </w:p>
        </w:tc>
        <w:tc>
          <w:tcPr>
            <w:tcW w:w="857"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内容</w:t>
            </w:r>
          </w:p>
        </w:tc>
        <w:tc>
          <w:tcPr>
            <w:tcW w:w="471"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数量</w:t>
            </w:r>
          </w:p>
        </w:tc>
        <w:tc>
          <w:tcPr>
            <w:tcW w:w="718"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color w:val="000000" w:themeColor="text1"/>
                <w:kern w:val="0"/>
                <w:sz w:val="24"/>
                <w:lang w:val="en-US" w:eastAsia="zh-CN"/>
              </w:rPr>
            </w:pPr>
            <w:r>
              <w:rPr>
                <w:rFonts w:hint="eastAsia" w:ascii="宋体" w:hAnsi="宋体"/>
                <w:b/>
                <w:bCs/>
                <w:snapToGrid w:val="0"/>
                <w:color w:val="000000" w:themeColor="text1"/>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单价</w:t>
            </w:r>
          </w:p>
        </w:tc>
        <w:tc>
          <w:tcPr>
            <w:tcW w:w="789"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color w:val="000000" w:themeColor="text1"/>
                <w:kern w:val="0"/>
                <w:sz w:val="24"/>
                <w:lang w:eastAsia="zh-CN"/>
              </w:rPr>
            </w:pPr>
            <w:r>
              <w:rPr>
                <w:rFonts w:hint="eastAsia" w:ascii="宋体" w:hAnsi="宋体"/>
                <w:b/>
                <w:bCs/>
                <w:snapToGrid w:val="0"/>
                <w:color w:val="000000" w:themeColor="text1"/>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0" w:type="pct"/>
            <w:tcBorders>
              <w:top w:val="single" w:color="auto" w:sz="4" w:space="0"/>
            </w:tcBorders>
            <w:vAlign w:val="center"/>
          </w:tcPr>
          <w:p w14:paraId="15165AEF">
            <w:pPr>
              <w:adjustRightInd w:val="0"/>
              <w:snapToGrid w:val="0"/>
              <w:spacing w:line="360" w:lineRule="auto"/>
              <w:jc w:val="center"/>
              <w:rPr>
                <w:rFonts w:ascii="宋体" w:hAnsi="宋体"/>
                <w:bCs/>
                <w:snapToGrid w:val="0"/>
                <w:color w:val="000000" w:themeColor="text1"/>
                <w:kern w:val="0"/>
                <w:sz w:val="24"/>
              </w:rPr>
            </w:pPr>
            <w:r>
              <w:rPr>
                <w:rFonts w:hint="eastAsia" w:ascii="宋体" w:hAnsi="宋体"/>
                <w:bCs/>
                <w:snapToGrid w:val="0"/>
                <w:color w:val="000000" w:themeColor="text1"/>
                <w:kern w:val="0"/>
                <w:sz w:val="24"/>
              </w:rPr>
              <w:t>1</w:t>
            </w:r>
          </w:p>
        </w:tc>
        <w:tc>
          <w:tcPr>
            <w:tcW w:w="857" w:type="pct"/>
            <w:tcBorders>
              <w:top w:val="single" w:color="auto" w:sz="4" w:space="0"/>
            </w:tcBorders>
            <w:vAlign w:val="center"/>
          </w:tcPr>
          <w:p w14:paraId="3440D226">
            <w:pPr>
              <w:adjustRightInd w:val="0"/>
              <w:snapToGrid w:val="0"/>
              <w:spacing w:line="360" w:lineRule="auto"/>
              <w:jc w:val="center"/>
              <w:rPr>
                <w:rFonts w:ascii="宋体" w:hAnsi="宋体"/>
                <w:bCs/>
                <w:snapToGrid w:val="0"/>
                <w:color w:val="000000" w:themeColor="text1"/>
                <w:kern w:val="0"/>
                <w:sz w:val="24"/>
              </w:rPr>
            </w:pPr>
            <w:r>
              <w:rPr>
                <w:rFonts w:hint="default"/>
                <w:color w:val="000000" w:themeColor="text1"/>
                <w:lang w:val="en-US"/>
              </w:rPr>
              <w:t>南山区医疗集团总部2026年</w:t>
            </w:r>
            <w:r>
              <w:rPr>
                <w:rFonts w:hint="eastAsia"/>
                <w:color w:val="000000" w:themeColor="text1"/>
                <w:lang w:val="en-US" w:eastAsia="zh-CN"/>
              </w:rPr>
              <w:t>度</w:t>
            </w:r>
            <w:r>
              <w:rPr>
                <w:rFonts w:hint="default"/>
                <w:color w:val="000000" w:themeColor="text1"/>
                <w:lang w:val="en-US"/>
              </w:rPr>
              <w:t>医学装备轮换项目概算编制服务</w:t>
            </w:r>
          </w:p>
        </w:tc>
        <w:tc>
          <w:tcPr>
            <w:tcW w:w="471"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color w:val="000000" w:themeColor="text1"/>
                <w:kern w:val="0"/>
                <w:sz w:val="24"/>
                <w:lang w:val="en-US" w:eastAsia="zh-CN"/>
              </w:rPr>
            </w:pPr>
            <w:r>
              <w:rPr>
                <w:rFonts w:hint="eastAsia" w:ascii="宋体" w:hAnsi="宋体"/>
                <w:bCs/>
                <w:snapToGrid w:val="0"/>
                <w:color w:val="000000" w:themeColor="text1"/>
                <w:kern w:val="0"/>
                <w:sz w:val="24"/>
                <w:lang w:val="en-US" w:eastAsia="zh-CN"/>
              </w:rPr>
              <w:t>1</w:t>
            </w:r>
          </w:p>
        </w:tc>
        <w:tc>
          <w:tcPr>
            <w:tcW w:w="718" w:type="pct"/>
            <w:tcBorders>
              <w:top w:val="single" w:color="auto" w:sz="4" w:space="0"/>
            </w:tcBorders>
          </w:tcPr>
          <w:p w14:paraId="3A2C65BE">
            <w:pPr>
              <w:adjustRightInd w:val="0"/>
              <w:snapToGrid w:val="0"/>
              <w:spacing w:line="360" w:lineRule="auto"/>
              <w:jc w:val="center"/>
              <w:rPr>
                <w:rFonts w:hint="eastAsia" w:ascii="宋体" w:hAnsi="宋体"/>
                <w:bCs/>
                <w:snapToGrid w:val="0"/>
                <w:color w:val="000000" w:themeColor="text1"/>
                <w:kern w:val="0"/>
                <w:sz w:val="24"/>
                <w:lang w:val="en-US" w:eastAsia="zh-CN"/>
              </w:rPr>
            </w:pPr>
          </w:p>
          <w:p w14:paraId="29916221">
            <w:pPr>
              <w:adjustRightInd w:val="0"/>
              <w:snapToGrid w:val="0"/>
              <w:spacing w:line="360" w:lineRule="auto"/>
              <w:jc w:val="center"/>
              <w:rPr>
                <w:rFonts w:hint="eastAsia" w:ascii="宋体" w:hAnsi="宋体"/>
                <w:bCs/>
                <w:snapToGrid w:val="0"/>
                <w:color w:val="000000" w:themeColor="text1"/>
                <w:kern w:val="0"/>
                <w:sz w:val="24"/>
                <w:lang w:val="en-US" w:eastAsia="zh-CN"/>
              </w:rPr>
            </w:pPr>
          </w:p>
          <w:p w14:paraId="20294097">
            <w:pPr>
              <w:adjustRightInd w:val="0"/>
              <w:snapToGrid w:val="0"/>
              <w:spacing w:line="360" w:lineRule="auto"/>
              <w:jc w:val="center"/>
              <w:rPr>
                <w:rFonts w:hint="eastAsia" w:ascii="宋体" w:hAnsi="宋体" w:eastAsia="宋体"/>
                <w:bCs/>
                <w:snapToGrid w:val="0"/>
                <w:color w:val="000000" w:themeColor="text1"/>
                <w:kern w:val="0"/>
                <w:sz w:val="24"/>
                <w:lang w:val="en-US" w:eastAsia="zh-CN"/>
              </w:rPr>
            </w:pPr>
            <w:r>
              <w:rPr>
                <w:rFonts w:hint="eastAsia" w:ascii="宋体" w:hAnsi="宋体"/>
                <w:bCs/>
                <w:snapToGrid w:val="0"/>
                <w:color w:val="000000" w:themeColor="text1"/>
                <w:kern w:val="0"/>
                <w:sz w:val="24"/>
                <w:lang w:val="en-US" w:eastAsia="zh-CN"/>
              </w:rPr>
              <w:t>/</w:t>
            </w: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color w:val="000000" w:themeColor="text1"/>
                <w:kern w:val="0"/>
                <w:sz w:val="24"/>
              </w:rPr>
            </w:pPr>
          </w:p>
          <w:p w14:paraId="60E4DB47">
            <w:pPr>
              <w:pStyle w:val="19"/>
              <w:rPr>
                <w:rFonts w:ascii="宋体" w:hAnsi="宋体"/>
                <w:bCs/>
                <w:snapToGrid w:val="0"/>
                <w:color w:val="000000" w:themeColor="text1"/>
                <w:kern w:val="0"/>
                <w:sz w:val="24"/>
              </w:rPr>
            </w:pPr>
          </w:p>
          <w:p w14:paraId="6B3458A0">
            <w:pPr>
              <w:jc w:val="center"/>
              <w:rPr>
                <w:rFonts w:hint="eastAsia" w:eastAsia="宋体"/>
                <w:color w:val="000000" w:themeColor="text1"/>
                <w:lang w:val="en-US" w:eastAsia="zh-CN"/>
              </w:rPr>
            </w:pPr>
            <w:r>
              <w:rPr>
                <w:rFonts w:hint="eastAsia" w:ascii="宋体" w:hAnsi="宋体"/>
                <w:bCs/>
                <w:snapToGrid w:val="0"/>
                <w:color w:val="000000" w:themeColor="text1"/>
                <w:kern w:val="0"/>
                <w:sz w:val="24"/>
                <w:lang w:val="en-US" w:eastAsia="zh-CN"/>
              </w:rPr>
              <w:t>项</w:t>
            </w: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color w:val="000000" w:themeColor="text1"/>
                <w:kern w:val="0"/>
                <w:sz w:val="24"/>
              </w:rPr>
            </w:pPr>
          </w:p>
          <w:p w14:paraId="231F6DA6">
            <w:pPr>
              <w:pStyle w:val="19"/>
              <w:rPr>
                <w:rFonts w:ascii="宋体" w:hAnsi="宋体"/>
                <w:bCs/>
                <w:snapToGrid w:val="0"/>
                <w:color w:val="000000" w:themeColor="text1"/>
                <w:kern w:val="0"/>
                <w:sz w:val="24"/>
              </w:rPr>
            </w:pPr>
          </w:p>
          <w:p w14:paraId="305C0A07">
            <w:pPr>
              <w:rPr>
                <w:rFonts w:hint="eastAsia" w:ascii="宋体" w:hAnsi="宋体"/>
                <w:bCs/>
                <w:snapToGrid w:val="0"/>
                <w:color w:val="000000" w:themeColor="text1"/>
                <w:kern w:val="0"/>
                <w:sz w:val="24"/>
                <w:lang w:val="en-US" w:eastAsia="zh-CN"/>
              </w:rPr>
            </w:pPr>
          </w:p>
          <w:p w14:paraId="0EFD5E84">
            <w:pPr>
              <w:ind w:firstLine="720" w:firstLineChars="300"/>
              <w:rPr>
                <w:rFonts w:hint="eastAsia" w:eastAsia="宋体"/>
                <w:color w:val="000000" w:themeColor="text1"/>
                <w:lang w:val="en-US" w:eastAsia="zh-CN"/>
              </w:rPr>
            </w:pPr>
            <w:r>
              <w:rPr>
                <w:rFonts w:hint="eastAsia" w:ascii="宋体" w:hAnsi="宋体"/>
                <w:bCs/>
                <w:snapToGrid w:val="0"/>
                <w:color w:val="000000" w:themeColor="text1"/>
                <w:kern w:val="0"/>
                <w:sz w:val="24"/>
                <w:lang w:val="en-US" w:eastAsia="zh-CN"/>
              </w:rPr>
              <w:t>/</w:t>
            </w:r>
          </w:p>
        </w:tc>
        <w:tc>
          <w:tcPr>
            <w:tcW w:w="789" w:type="pct"/>
            <w:tcBorders>
              <w:top w:val="single" w:color="auto" w:sz="4" w:space="0"/>
            </w:tcBorders>
          </w:tcPr>
          <w:p w14:paraId="26C62B92">
            <w:pPr>
              <w:rPr>
                <w:rFonts w:hint="eastAsia" w:ascii="宋体" w:hAnsi="宋体"/>
                <w:bCs/>
                <w:snapToGrid w:val="0"/>
                <w:color w:val="000000" w:themeColor="text1"/>
                <w:kern w:val="0"/>
                <w:sz w:val="24"/>
                <w:lang w:val="en-US" w:eastAsia="zh-CN"/>
              </w:rPr>
            </w:pPr>
          </w:p>
          <w:p w14:paraId="7B5EC153">
            <w:pPr>
              <w:rPr>
                <w:rFonts w:hint="eastAsia" w:ascii="宋体" w:hAnsi="宋体"/>
                <w:bCs/>
                <w:snapToGrid w:val="0"/>
                <w:color w:val="000000" w:themeColor="text1"/>
                <w:kern w:val="0"/>
                <w:sz w:val="24"/>
                <w:lang w:val="en-US" w:eastAsia="zh-CN"/>
              </w:rPr>
            </w:pPr>
            <w:r>
              <w:rPr>
                <w:rFonts w:hint="eastAsia" w:ascii="宋体" w:hAnsi="宋体"/>
                <w:bCs/>
                <w:snapToGrid w:val="0"/>
                <w:color w:val="000000" w:themeColor="text1"/>
                <w:kern w:val="0"/>
                <w:sz w:val="24"/>
                <w:lang w:val="en-US" w:eastAsia="zh-CN"/>
              </w:rPr>
              <w:t>总预算金额不超过</w:t>
            </w:r>
          </w:p>
          <w:p w14:paraId="23A5FAC0">
            <w:pPr>
              <w:rPr>
                <w:rFonts w:hint="default" w:ascii="仿宋_GB2312" w:hAnsi="宋体" w:eastAsia="仿宋_GB2312"/>
                <w:color w:val="000000" w:themeColor="text1"/>
                <w:sz w:val="26"/>
                <w:szCs w:val="26"/>
                <w:u w:val="none"/>
                <w:lang w:val="en-US" w:eastAsia="zh-CN"/>
              </w:rPr>
            </w:pPr>
            <w:r>
              <w:rPr>
                <w:rFonts w:hint="eastAsia" w:ascii="宋体" w:hAnsi="宋体" w:eastAsia="宋体" w:cs="Times New Roman"/>
                <w:bCs/>
                <w:snapToGrid w:val="0"/>
                <w:color w:val="000000" w:themeColor="text1"/>
                <w:kern w:val="0"/>
                <w:sz w:val="24"/>
                <w:lang w:val="en-US" w:eastAsia="zh-CN"/>
              </w:rPr>
              <w:t>¥27,500.00元</w:t>
            </w:r>
          </w:p>
          <w:p w14:paraId="78889400">
            <w:pPr>
              <w:adjustRightInd w:val="0"/>
              <w:snapToGrid w:val="0"/>
              <w:spacing w:line="360" w:lineRule="auto"/>
              <w:jc w:val="center"/>
              <w:rPr>
                <w:rFonts w:hint="default" w:ascii="宋体" w:hAnsi="宋体" w:eastAsia="宋体"/>
                <w:bCs/>
                <w:snapToGrid w:val="0"/>
                <w:color w:val="000000" w:themeColor="text1"/>
                <w:kern w:val="0"/>
                <w:sz w:val="24"/>
                <w:lang w:val="en-US" w:eastAsia="zh-CN"/>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37"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总价</w:t>
            </w:r>
          </w:p>
        </w:tc>
        <w:tc>
          <w:tcPr>
            <w:tcW w:w="471"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color w:val="000000" w:themeColor="text1"/>
                <w:kern w:val="0"/>
                <w:sz w:val="24"/>
              </w:rPr>
            </w:pPr>
          </w:p>
        </w:tc>
        <w:tc>
          <w:tcPr>
            <w:tcW w:w="3191"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color w:val="000000" w:themeColor="text1"/>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37"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color w:val="000000" w:themeColor="text1"/>
                <w:kern w:val="0"/>
                <w:sz w:val="24"/>
              </w:rPr>
            </w:pPr>
            <w:r>
              <w:rPr>
                <w:rFonts w:hint="eastAsia" w:ascii="宋体" w:hAnsi="宋体"/>
                <w:b/>
                <w:bCs/>
                <w:snapToGrid w:val="0"/>
                <w:color w:val="000000" w:themeColor="text1"/>
                <w:kern w:val="0"/>
                <w:sz w:val="24"/>
              </w:rPr>
              <w:t>报价有效期</w:t>
            </w:r>
          </w:p>
        </w:tc>
        <w:tc>
          <w:tcPr>
            <w:tcW w:w="471"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color w:val="000000" w:themeColor="text1"/>
                <w:kern w:val="0"/>
                <w:sz w:val="24"/>
                <w:highlight w:val="cyan"/>
              </w:rPr>
            </w:pPr>
          </w:p>
        </w:tc>
        <w:tc>
          <w:tcPr>
            <w:tcW w:w="3191"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color w:val="000000" w:themeColor="text1"/>
                <w:kern w:val="0"/>
                <w:sz w:val="24"/>
              </w:rPr>
            </w:pPr>
            <w:r>
              <w:rPr>
                <w:rFonts w:hint="eastAsia" w:ascii="宋体" w:hAnsi="宋体"/>
                <w:bCs/>
                <w:snapToGrid w:val="0"/>
                <w:color w:val="000000" w:themeColor="text1"/>
                <w:kern w:val="0"/>
                <w:sz w:val="24"/>
                <w:highlight w:val="cyan"/>
              </w:rPr>
              <w:t>我单位承诺递交的报价表在</w:t>
            </w:r>
            <w:r>
              <w:rPr>
                <w:rFonts w:hint="eastAsia" w:ascii="宋体" w:hAnsi="宋体"/>
                <w:bCs/>
                <w:snapToGrid w:val="0"/>
                <w:color w:val="000000" w:themeColor="text1"/>
                <w:kern w:val="0"/>
                <w:sz w:val="24"/>
                <w:highlight w:val="cyan"/>
                <w:u w:val="single"/>
              </w:rPr>
              <w:t>X</w:t>
            </w:r>
            <w:r>
              <w:rPr>
                <w:rFonts w:hint="eastAsia" w:ascii="宋体" w:hAnsi="宋体"/>
                <w:bCs/>
                <w:snapToGrid w:val="0"/>
                <w:color w:val="000000" w:themeColor="text1"/>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033D64-F7FC-4545-9D5D-DF68999668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421E3EE-329D-4B04-95B6-46365DEBBE5A}"/>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99BB64FD-FE7A-4C95-995F-341312609A4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F081154"/>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3CE5DC2"/>
    <w:rsid w:val="344B7F15"/>
    <w:rsid w:val="345C3DCA"/>
    <w:rsid w:val="355251D2"/>
    <w:rsid w:val="38E97BDC"/>
    <w:rsid w:val="392678C4"/>
    <w:rsid w:val="3A127140"/>
    <w:rsid w:val="3D7204A4"/>
    <w:rsid w:val="3E911746"/>
    <w:rsid w:val="3F563A81"/>
    <w:rsid w:val="3FE25B2D"/>
    <w:rsid w:val="40EE0130"/>
    <w:rsid w:val="42303267"/>
    <w:rsid w:val="44000DE5"/>
    <w:rsid w:val="456914A4"/>
    <w:rsid w:val="45D4532C"/>
    <w:rsid w:val="45E74EF6"/>
    <w:rsid w:val="46EE566A"/>
    <w:rsid w:val="47995D8A"/>
    <w:rsid w:val="47AE1D32"/>
    <w:rsid w:val="47FD66C6"/>
    <w:rsid w:val="48FC114A"/>
    <w:rsid w:val="4A2F6F19"/>
    <w:rsid w:val="4DAC0334"/>
    <w:rsid w:val="517300AC"/>
    <w:rsid w:val="5175428D"/>
    <w:rsid w:val="53C4433B"/>
    <w:rsid w:val="545C11F4"/>
    <w:rsid w:val="58401B9D"/>
    <w:rsid w:val="59B23993"/>
    <w:rsid w:val="59F45752"/>
    <w:rsid w:val="5A807519"/>
    <w:rsid w:val="5C2710F9"/>
    <w:rsid w:val="5E317FAE"/>
    <w:rsid w:val="5E711D46"/>
    <w:rsid w:val="5EDB6B4A"/>
    <w:rsid w:val="61163BE3"/>
    <w:rsid w:val="615E6687"/>
    <w:rsid w:val="616421C6"/>
    <w:rsid w:val="61D104EA"/>
    <w:rsid w:val="62CF609E"/>
    <w:rsid w:val="62F272B9"/>
    <w:rsid w:val="643E547F"/>
    <w:rsid w:val="64E7316B"/>
    <w:rsid w:val="68F67A18"/>
    <w:rsid w:val="69FA35A8"/>
    <w:rsid w:val="6A995FA5"/>
    <w:rsid w:val="6AA51683"/>
    <w:rsid w:val="6D8E6A2F"/>
    <w:rsid w:val="6ED628CC"/>
    <w:rsid w:val="6EE83F45"/>
    <w:rsid w:val="6F371D0A"/>
    <w:rsid w:val="704E2D79"/>
    <w:rsid w:val="75096F5F"/>
    <w:rsid w:val="76B06742"/>
    <w:rsid w:val="76BB24DB"/>
    <w:rsid w:val="78CA44FB"/>
    <w:rsid w:val="7B790B19"/>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next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179">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4244</Words>
  <Characters>4430</Characters>
  <Lines>19</Lines>
  <Paragraphs>5</Paragraphs>
  <TotalTime>3</TotalTime>
  <ScaleCrop>false</ScaleCrop>
  <LinksUpToDate>false</LinksUpToDate>
  <CharactersWithSpaces>4882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2025-12-03T01:50:25Z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AD1F4AB738C84822980CB2302EE3F02C</vt:lpwstr>
  </property>
  <property fmtid="{D5CDD505-2E9C-101B-9397-08002B2CF9AE}" pid="4" name="KSOTemplateDocerSaveRecord">
    <vt:lpwstr>eyJoZGlkIjoiM2QyMWEyMTNmN2YyZjkzZjkxOWUyMTc5ZjA1OTNkMDAiLCJ1c2VySWQiOiI0NTU2MzE3MDMifQ==</vt:lpwstr>
  </property>
</Properties>
</file>