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福光、深圳湾、星海名城、赤湾社康中心零星维修(打包)项目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w:t>
      </w:r>
      <w:bookmarkStart w:id="5" w:name="_GoBack"/>
      <w:bookmarkEnd w:id="5"/>
      <w:r>
        <w:rPr>
          <w:rFonts w:hint="eastAsia" w:ascii="宋体" w:hAnsi="宋体"/>
          <w:bCs/>
          <w:snapToGrid w:val="0"/>
          <w:kern w:val="0"/>
          <w:sz w:val="24"/>
        </w:rPr>
        <w:t>商应填写单位/公司全称、同时加盖供应商公章及签字，于202</w:t>
      </w:r>
      <w:r>
        <w:rPr>
          <w:rFonts w:hint="eastAsia" w:ascii="宋体" w:hAnsi="宋体"/>
          <w:bCs/>
          <w:snapToGrid w:val="0"/>
          <w:kern w:val="0"/>
          <w:sz w:val="24"/>
          <w:lang w:val="en-US" w:eastAsia="zh-CN"/>
        </w:rPr>
        <w:t>5</w:t>
      </w:r>
      <w:r>
        <w:rPr>
          <w:rFonts w:hint="eastAsia" w:ascii="宋体" w:hAnsi="宋体"/>
          <w:bCs/>
          <w:snapToGrid w:val="0"/>
          <w:kern w:val="0"/>
          <w:sz w:val="24"/>
        </w:rPr>
        <w:t xml:space="preserve">年 </w:t>
      </w:r>
      <w:r>
        <w:rPr>
          <w:rFonts w:hint="eastAsia" w:ascii="宋体" w:hAnsi="宋体"/>
          <w:bCs/>
          <w:snapToGrid w:val="0"/>
          <w:kern w:val="0"/>
          <w:sz w:val="24"/>
          <w:lang w:val="en-US" w:eastAsia="zh-CN"/>
        </w:rPr>
        <w:t>8</w:t>
      </w:r>
      <w:r>
        <w:rPr>
          <w:rFonts w:hint="eastAsia" w:ascii="宋体" w:hAnsi="宋体"/>
          <w:bCs/>
          <w:snapToGrid w:val="0"/>
          <w:kern w:val="0"/>
          <w:sz w:val="24"/>
        </w:rPr>
        <w:t xml:space="preserve"> 月 </w:t>
      </w:r>
      <w:r>
        <w:rPr>
          <w:rFonts w:hint="eastAsia" w:ascii="宋体" w:hAnsi="宋体"/>
          <w:bCs/>
          <w:snapToGrid w:val="0"/>
          <w:kern w:val="0"/>
          <w:sz w:val="24"/>
          <w:lang w:val="en-US" w:eastAsia="zh-CN"/>
        </w:rPr>
        <w:t>21</w:t>
      </w:r>
      <w:r>
        <w:rPr>
          <w:rFonts w:hint="eastAsia" w:ascii="宋体" w:hAnsi="宋体"/>
          <w:bCs/>
          <w:snapToGrid w:val="0"/>
          <w:kern w:val="0"/>
          <w:sz w:val="24"/>
        </w:rPr>
        <w:t>日</w:t>
      </w:r>
      <w:r>
        <w:rPr>
          <w:rFonts w:hint="eastAsia" w:ascii="宋体" w:hAnsi="宋体"/>
          <w:bCs/>
          <w:snapToGrid w:val="0"/>
          <w:kern w:val="0"/>
          <w:sz w:val="24"/>
          <w:lang w:val="en-US" w:eastAsia="zh-CN"/>
        </w:rPr>
        <w:t>18</w:t>
      </w:r>
      <w:r>
        <w:rPr>
          <w:rFonts w:hint="eastAsia" w:ascii="宋体" w:hAnsi="宋体"/>
          <w:bCs/>
          <w:snapToGrid w:val="0"/>
          <w:kern w:val="0"/>
          <w:sz w:val="24"/>
        </w:rPr>
        <w:t>:00前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06DCCCD5">
      <w:pPr>
        <w:adjustRightInd w:val="0"/>
        <w:snapToGrid w:val="0"/>
        <w:spacing w:line="360" w:lineRule="auto"/>
        <w:ind w:left="900" w:leftChars="200" w:hanging="480" w:hangingChars="200"/>
        <w:rPr>
          <w:rFonts w:hint="eastAsia" w:ascii="宋体" w:hAnsi="宋体"/>
          <w:b/>
          <w:bCs/>
          <w:snapToGrid w:val="0"/>
          <w:color w:val="FF000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发现询价文件异常一致或者投标报价呈规律性差，在询价活动中视为无效文件，当场作废。</w:t>
      </w:r>
    </w:p>
    <w:p w14:paraId="44BA82F2">
      <w:pPr>
        <w:adjustRightInd w:val="0"/>
        <w:snapToGrid w:val="0"/>
        <w:spacing w:line="360" w:lineRule="auto"/>
        <w:ind w:left="420" w:leftChars="200"/>
        <w:rPr>
          <w:rFonts w:ascii="宋体" w:hAnsi="宋体" w:eastAsia="宋体" w:cs="宋体"/>
          <w:b/>
          <w:bCs/>
          <w:color w:val="FF0000"/>
          <w:sz w:val="24"/>
          <w:szCs w:val="24"/>
        </w:rPr>
      </w:pPr>
      <w:r>
        <w:rPr>
          <w:rFonts w:hint="eastAsia" w:ascii="宋体" w:hAnsi="宋体"/>
          <w:b/>
          <w:bCs/>
          <w:snapToGrid w:val="0"/>
          <w:color w:val="FF0000"/>
          <w:kern w:val="0"/>
          <w:sz w:val="24"/>
          <w:lang w:val="en-US" w:eastAsia="zh-CN"/>
        </w:rPr>
        <w:t>六、</w:t>
      </w:r>
      <w:r>
        <w:rPr>
          <w:rFonts w:ascii="宋体" w:hAnsi="宋体" w:eastAsia="宋体" w:cs="宋体"/>
          <w:b/>
          <w:bCs/>
          <w:color w:val="FF0000"/>
          <w:sz w:val="24"/>
          <w:szCs w:val="24"/>
        </w:rPr>
        <w:t>响应供应商提供的报价不得高于同期电子商务平台或市场销售价格。采购</w:t>
      </w:r>
      <w:r>
        <w:rPr>
          <w:rFonts w:hint="eastAsia" w:ascii="宋体" w:hAnsi="宋体" w:cs="宋体"/>
          <w:b/>
          <w:bCs/>
          <w:color w:val="FF0000"/>
          <w:sz w:val="24"/>
          <w:szCs w:val="24"/>
          <w:lang w:val="en-US" w:eastAsia="zh-CN"/>
        </w:rPr>
        <w:t xml:space="preserve">  </w:t>
      </w:r>
    </w:p>
    <w:p w14:paraId="5F6A4D3E">
      <w:pPr>
        <w:adjustRightInd w:val="0"/>
        <w:snapToGrid w:val="0"/>
        <w:spacing w:line="360" w:lineRule="auto"/>
        <w:ind w:left="899" w:leftChars="428" w:firstLine="0" w:firstLineChars="0"/>
        <w:rPr>
          <w:rFonts w:ascii="宋体" w:hAnsi="宋体"/>
          <w:bCs/>
          <w:snapToGrid w:val="0"/>
          <w:kern w:val="0"/>
          <w:sz w:val="24"/>
        </w:rPr>
      </w:pPr>
      <w:r>
        <w:rPr>
          <w:rFonts w:ascii="宋体" w:hAnsi="宋体" w:eastAsia="宋体" w:cs="宋体"/>
          <w:b/>
          <w:bCs/>
          <w:color w:val="FF0000"/>
          <w:sz w:val="24"/>
          <w:szCs w:val="24"/>
        </w:rPr>
        <w:t>人将对响应供应商提供的报价进行现场比价或电子商务平台比价，若发现报价存在高于市场平均价的情形，招标人有权废止该项目响应供应商。</w:t>
      </w: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lang w:val="en-US" w:eastAsia="zh-CN"/>
        </w:rPr>
        <w:t>七</w:t>
      </w:r>
      <w:r>
        <w:rPr>
          <w:rFonts w:hint="eastAsia" w:ascii="宋体" w:hAnsi="宋体"/>
          <w:bCs/>
          <w:snapToGrid w:val="0"/>
          <w:kern w:val="0"/>
          <w:sz w:val="24"/>
        </w:rPr>
        <w:t>、对本次采购提出询问，请按以下方式联系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张</w:t>
      </w:r>
      <w:r>
        <w:rPr>
          <w:rFonts w:hint="eastAsia" w:ascii="宋体" w:hAnsi="宋体"/>
          <w:bCs/>
          <w:snapToGrid w:val="0"/>
          <w:kern w:val="0"/>
          <w:sz w:val="24"/>
        </w:rPr>
        <w:t>老师</w:t>
      </w:r>
    </w:p>
    <w:p w14:paraId="32663B9F">
      <w:pPr>
        <w:adjustRightInd w:val="0"/>
        <w:snapToGrid w:val="0"/>
        <w:spacing w:line="360" w:lineRule="auto"/>
        <w:ind w:left="1918" w:leftChars="456" w:hanging="960" w:hanging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zhangjia@nsqyljtzb.cn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413室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2EEAE65C">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5C137DD">
      <w:pPr>
        <w:numPr>
          <w:ilvl w:val="0"/>
          <w:numId w:val="0"/>
        </w:numPr>
        <w:jc w:val="left"/>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val="en-US" w:eastAsia="zh-CN"/>
        </w:rPr>
        <w:t>一、</w:t>
      </w:r>
      <w:r>
        <w:rPr>
          <w:rFonts w:hint="eastAsia" w:ascii="仿宋" w:hAnsi="仿宋" w:eastAsia="仿宋" w:cs="仿宋"/>
          <w:i w:val="0"/>
          <w:iCs w:val="0"/>
          <w:caps w:val="0"/>
          <w:color w:val="auto"/>
          <w:spacing w:val="0"/>
          <w:sz w:val="24"/>
          <w:szCs w:val="24"/>
          <w:shd w:val="clear" w:fill="FFFFFF"/>
        </w:rPr>
        <w:t>需求内容：</w:t>
      </w:r>
    </w:p>
    <w:p w14:paraId="0847B04A">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w:t>
      </w:r>
      <w:r>
        <w:rPr>
          <w:rFonts w:hint="eastAsia" w:ascii="仿宋" w:hAnsi="仿宋" w:eastAsia="仿宋" w:cs="仿宋"/>
          <w:sz w:val="24"/>
          <w:szCs w:val="24"/>
        </w:rPr>
        <w:t>福光、深圳湾、星海名城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赤湾</w:t>
      </w:r>
      <w:r>
        <w:rPr>
          <w:rFonts w:hint="eastAsia" w:ascii="仿宋" w:hAnsi="仿宋" w:eastAsia="仿宋" w:cs="仿宋"/>
          <w:sz w:val="24"/>
          <w:szCs w:val="24"/>
        </w:rPr>
        <w:t>社康中心零星维修</w:t>
      </w:r>
      <w:r>
        <w:rPr>
          <w:rFonts w:hint="eastAsia" w:ascii="仿宋" w:hAnsi="仿宋" w:eastAsia="仿宋" w:cs="仿宋"/>
          <w:sz w:val="24"/>
          <w:szCs w:val="24"/>
          <w:lang w:eastAsia="zh-CN"/>
        </w:rPr>
        <w:t>（</w:t>
      </w:r>
      <w:r>
        <w:rPr>
          <w:rFonts w:hint="eastAsia" w:ascii="仿宋" w:hAnsi="仿宋" w:eastAsia="仿宋" w:cs="仿宋"/>
          <w:sz w:val="24"/>
          <w:szCs w:val="24"/>
        </w:rPr>
        <w:t>打包</w:t>
      </w:r>
      <w:r>
        <w:rPr>
          <w:rFonts w:hint="eastAsia" w:ascii="仿宋" w:hAnsi="仿宋" w:eastAsia="仿宋" w:cs="仿宋"/>
          <w:sz w:val="24"/>
          <w:szCs w:val="24"/>
          <w:lang w:eastAsia="zh-CN"/>
        </w:rPr>
        <w:t>）</w:t>
      </w:r>
      <w:r>
        <w:rPr>
          <w:rFonts w:hint="eastAsia" w:ascii="仿宋" w:hAnsi="仿宋" w:eastAsia="仿宋" w:cs="仿宋"/>
          <w:sz w:val="24"/>
          <w:szCs w:val="24"/>
        </w:rPr>
        <w:t>项目</w:t>
      </w:r>
      <w:r>
        <w:rPr>
          <w:rFonts w:hint="eastAsia" w:ascii="仿宋" w:hAnsi="仿宋" w:eastAsia="仿宋" w:cs="仿宋"/>
          <w:sz w:val="24"/>
          <w:szCs w:val="24"/>
          <w:lang w:eastAsia="zh-CN"/>
        </w:rPr>
        <w:t>；</w:t>
      </w:r>
    </w:p>
    <w:p w14:paraId="00E0B716">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2.项目地址：</w:t>
      </w:r>
      <w:r>
        <w:rPr>
          <w:rFonts w:hint="eastAsia" w:ascii="仿宋" w:hAnsi="仿宋" w:eastAsia="仿宋" w:cs="仿宋"/>
          <w:i w:val="0"/>
          <w:iCs w:val="0"/>
          <w:caps w:val="0"/>
          <w:color w:val="auto"/>
          <w:spacing w:val="0"/>
          <w:sz w:val="24"/>
          <w:szCs w:val="24"/>
          <w:shd w:val="clear" w:fill="FFFFFF"/>
        </w:rPr>
        <w:t>深圳市南山区</w:t>
      </w:r>
      <w:r>
        <w:rPr>
          <w:rFonts w:hint="eastAsia" w:ascii="仿宋" w:hAnsi="仿宋" w:eastAsia="仿宋" w:cs="仿宋"/>
          <w:i w:val="0"/>
          <w:iCs w:val="0"/>
          <w:caps w:val="0"/>
          <w:color w:val="auto"/>
          <w:spacing w:val="0"/>
          <w:sz w:val="24"/>
          <w:szCs w:val="24"/>
          <w:shd w:val="clear" w:fill="FFFFFF"/>
          <w:lang w:val="en-US" w:eastAsia="zh-CN"/>
        </w:rPr>
        <w:t>福光、深圳湾、星海名城、赤湾社康中心；</w:t>
      </w:r>
    </w:p>
    <w:p w14:paraId="5736DF35">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3.预算金额：2万元；</w:t>
      </w:r>
    </w:p>
    <w:p w14:paraId="26D75A73">
      <w:pPr>
        <w:adjustRightInd w:val="0"/>
        <w:snapToGrid w:val="0"/>
        <w:spacing w:line="360" w:lineRule="auto"/>
        <w:ind w:firstLine="480" w:firstLineChars="200"/>
        <w:jc w:val="left"/>
        <w:rPr>
          <w:rFonts w:ascii="仿宋_GB2312" w:hAnsi="仿宋_GB2312" w:eastAsia="仿宋_GB2312" w:cs="仿宋_GB2312"/>
          <w:b/>
          <w:bCs/>
          <w:snapToGrid w:val="0"/>
          <w:kern w:val="0"/>
          <w:sz w:val="28"/>
          <w:szCs w:val="32"/>
          <w:highlight w:val="cyan"/>
        </w:rPr>
      </w:pPr>
      <w:r>
        <w:rPr>
          <w:rFonts w:hint="eastAsia" w:ascii="仿宋" w:hAnsi="仿宋" w:eastAsia="仿宋" w:cs="仿宋"/>
          <w:sz w:val="24"/>
          <w:szCs w:val="24"/>
          <w:lang w:val="en-US" w:eastAsia="zh-CN"/>
        </w:rPr>
        <w:t>4.改造内容：电梯井防水、外窗维修、临时强电改造、外立面标识拆除及空调漏水维修。</w:t>
      </w:r>
    </w:p>
    <w:p w14:paraId="631DA7E5">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二、服务要求：</w:t>
      </w:r>
    </w:p>
    <w:tbl>
      <w:tblPr>
        <w:tblStyle w:val="36"/>
        <w:tblW w:w="9637"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367"/>
        <w:gridCol w:w="2905"/>
        <w:gridCol w:w="838"/>
        <w:gridCol w:w="875"/>
        <w:gridCol w:w="1137"/>
        <w:gridCol w:w="988"/>
        <w:gridCol w:w="787"/>
      </w:tblGrid>
      <w:tr w14:paraId="0B37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37" w:type="dxa"/>
            <w:gridSpan w:val="8"/>
            <w:tcBorders>
              <w:top w:val="nil"/>
              <w:left w:val="nil"/>
              <w:bottom w:val="nil"/>
              <w:right w:val="nil"/>
            </w:tcBorders>
            <w:shd w:val="clear" w:color="auto" w:fill="auto"/>
            <w:noWrap/>
            <w:vAlign w:val="center"/>
          </w:tcPr>
          <w:p w14:paraId="59439795">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福光、深圳湾、星海名城、赤湾社康中心零星维修打包项目工程量清单</w:t>
            </w:r>
          </w:p>
        </w:tc>
      </w:tr>
      <w:tr w14:paraId="704D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0" w:type="dxa"/>
            <w:vMerge w:val="restart"/>
            <w:tcBorders>
              <w:top w:val="double" w:color="000000" w:sz="4" w:space="0"/>
              <w:left w:val="double" w:color="000000" w:sz="4" w:space="0"/>
              <w:bottom w:val="single" w:color="000000" w:sz="8" w:space="0"/>
              <w:right w:val="single" w:color="000000" w:sz="8" w:space="0"/>
            </w:tcBorders>
            <w:shd w:val="clear" w:color="auto" w:fill="auto"/>
            <w:vAlign w:val="center"/>
          </w:tcPr>
          <w:p w14:paraId="461DDD2D">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67" w:type="dxa"/>
            <w:vMerge w:val="restart"/>
            <w:tcBorders>
              <w:top w:val="double" w:color="000000" w:sz="4" w:space="0"/>
              <w:left w:val="single" w:color="000000" w:sz="8" w:space="0"/>
              <w:bottom w:val="single" w:color="000000" w:sz="8" w:space="0"/>
              <w:right w:val="single" w:color="000000" w:sz="8" w:space="0"/>
            </w:tcBorders>
            <w:shd w:val="clear" w:color="auto" w:fill="auto"/>
            <w:vAlign w:val="center"/>
          </w:tcPr>
          <w:p w14:paraId="24A460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2905" w:type="dxa"/>
            <w:vMerge w:val="restart"/>
            <w:tcBorders>
              <w:top w:val="double" w:color="000000" w:sz="4" w:space="0"/>
              <w:left w:val="single" w:color="000000" w:sz="8" w:space="0"/>
              <w:bottom w:val="single" w:color="000000" w:sz="8" w:space="0"/>
              <w:right w:val="nil"/>
            </w:tcBorders>
            <w:shd w:val="clear" w:color="auto" w:fill="auto"/>
            <w:vAlign w:val="center"/>
          </w:tcPr>
          <w:p w14:paraId="3D6E0F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项目特征描述</w:t>
            </w:r>
          </w:p>
        </w:tc>
        <w:tc>
          <w:tcPr>
            <w:tcW w:w="838" w:type="dxa"/>
            <w:vMerge w:val="restart"/>
            <w:tcBorders>
              <w:top w:val="double" w:color="000000" w:sz="4" w:space="0"/>
              <w:left w:val="single" w:color="000000" w:sz="8" w:space="0"/>
              <w:bottom w:val="single" w:color="000000" w:sz="8" w:space="0"/>
              <w:right w:val="single" w:color="000000" w:sz="8" w:space="0"/>
            </w:tcBorders>
            <w:shd w:val="clear" w:color="auto" w:fill="auto"/>
            <w:vAlign w:val="center"/>
          </w:tcPr>
          <w:p w14:paraId="33E5FE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875" w:type="dxa"/>
            <w:vMerge w:val="restart"/>
            <w:tcBorders>
              <w:top w:val="double" w:color="000000" w:sz="4" w:space="0"/>
              <w:left w:val="single" w:color="000000" w:sz="8" w:space="0"/>
              <w:bottom w:val="single" w:color="000000" w:sz="8" w:space="0"/>
              <w:right w:val="single" w:color="000000" w:sz="8" w:space="0"/>
            </w:tcBorders>
            <w:shd w:val="clear" w:color="auto" w:fill="auto"/>
            <w:vAlign w:val="center"/>
          </w:tcPr>
          <w:p w14:paraId="480DB9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1137" w:type="dxa"/>
            <w:vMerge w:val="restart"/>
            <w:tcBorders>
              <w:top w:val="double" w:color="000000" w:sz="4" w:space="0"/>
              <w:left w:val="single" w:color="000000" w:sz="8" w:space="0"/>
              <w:bottom w:val="single" w:color="000000" w:sz="8" w:space="0"/>
              <w:right w:val="single" w:color="000000" w:sz="8" w:space="0"/>
            </w:tcBorders>
            <w:shd w:val="clear" w:color="auto" w:fill="auto"/>
            <w:vAlign w:val="center"/>
          </w:tcPr>
          <w:p w14:paraId="45113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综合单价(元)</w:t>
            </w:r>
          </w:p>
        </w:tc>
        <w:tc>
          <w:tcPr>
            <w:tcW w:w="988" w:type="dxa"/>
            <w:vMerge w:val="restart"/>
            <w:tcBorders>
              <w:top w:val="double" w:color="000000" w:sz="4" w:space="0"/>
              <w:left w:val="single" w:color="000000" w:sz="8" w:space="0"/>
              <w:bottom w:val="single" w:color="000000" w:sz="8" w:space="0"/>
              <w:right w:val="single" w:color="000000" w:sz="8" w:space="0"/>
            </w:tcBorders>
            <w:shd w:val="clear" w:color="auto" w:fill="auto"/>
            <w:vAlign w:val="center"/>
          </w:tcPr>
          <w:p w14:paraId="2E486A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合价(元)</w:t>
            </w:r>
          </w:p>
        </w:tc>
        <w:tc>
          <w:tcPr>
            <w:tcW w:w="787" w:type="dxa"/>
            <w:vMerge w:val="restart"/>
            <w:tcBorders>
              <w:top w:val="double" w:color="000000" w:sz="4" w:space="0"/>
              <w:left w:val="single" w:color="000000" w:sz="8" w:space="0"/>
              <w:bottom w:val="single" w:color="000000" w:sz="8" w:space="0"/>
              <w:right w:val="double" w:color="000000" w:sz="4" w:space="0"/>
            </w:tcBorders>
            <w:shd w:val="clear" w:color="auto" w:fill="auto"/>
            <w:vAlign w:val="center"/>
          </w:tcPr>
          <w:p w14:paraId="0E9517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7DA0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0" w:type="dxa"/>
            <w:vMerge w:val="continue"/>
            <w:tcBorders>
              <w:top w:val="double" w:color="000000" w:sz="4" w:space="0"/>
              <w:left w:val="double" w:color="000000" w:sz="4" w:space="0"/>
              <w:bottom w:val="single" w:color="000000" w:sz="8" w:space="0"/>
              <w:right w:val="single" w:color="000000" w:sz="8" w:space="0"/>
            </w:tcBorders>
            <w:shd w:val="clear" w:color="auto" w:fill="auto"/>
            <w:vAlign w:val="center"/>
          </w:tcPr>
          <w:p w14:paraId="66D2C1F9">
            <w:pPr>
              <w:jc w:val="center"/>
              <w:rPr>
                <w:rFonts w:hint="eastAsia" w:ascii="仿宋" w:hAnsi="仿宋" w:eastAsia="仿宋" w:cs="仿宋"/>
                <w:i w:val="0"/>
                <w:iCs w:val="0"/>
                <w:color w:val="000000"/>
                <w:sz w:val="24"/>
                <w:szCs w:val="24"/>
                <w:u w:val="none"/>
              </w:rPr>
            </w:pPr>
          </w:p>
        </w:tc>
        <w:tc>
          <w:tcPr>
            <w:tcW w:w="1367" w:type="dxa"/>
            <w:vMerge w:val="continue"/>
            <w:tcBorders>
              <w:top w:val="double" w:color="000000" w:sz="4" w:space="0"/>
              <w:left w:val="single" w:color="000000" w:sz="8" w:space="0"/>
              <w:bottom w:val="single" w:color="000000" w:sz="8" w:space="0"/>
              <w:right w:val="single" w:color="000000" w:sz="8" w:space="0"/>
            </w:tcBorders>
            <w:shd w:val="clear" w:color="auto" w:fill="auto"/>
            <w:vAlign w:val="center"/>
          </w:tcPr>
          <w:p w14:paraId="04368218">
            <w:pPr>
              <w:jc w:val="center"/>
              <w:rPr>
                <w:rFonts w:hint="eastAsia" w:ascii="仿宋" w:hAnsi="仿宋" w:eastAsia="仿宋" w:cs="仿宋"/>
                <w:i w:val="0"/>
                <w:iCs w:val="0"/>
                <w:color w:val="000000"/>
                <w:sz w:val="24"/>
                <w:szCs w:val="24"/>
                <w:u w:val="none"/>
              </w:rPr>
            </w:pPr>
          </w:p>
        </w:tc>
        <w:tc>
          <w:tcPr>
            <w:tcW w:w="2905" w:type="dxa"/>
            <w:vMerge w:val="continue"/>
            <w:tcBorders>
              <w:top w:val="double" w:color="000000" w:sz="4" w:space="0"/>
              <w:left w:val="single" w:color="000000" w:sz="8" w:space="0"/>
              <w:bottom w:val="single" w:color="000000" w:sz="8" w:space="0"/>
              <w:right w:val="nil"/>
            </w:tcBorders>
            <w:shd w:val="clear" w:color="auto" w:fill="auto"/>
            <w:vAlign w:val="center"/>
          </w:tcPr>
          <w:p w14:paraId="74FDB260">
            <w:pPr>
              <w:jc w:val="center"/>
              <w:rPr>
                <w:rFonts w:hint="eastAsia" w:ascii="仿宋" w:hAnsi="仿宋" w:eastAsia="仿宋" w:cs="仿宋"/>
                <w:i w:val="0"/>
                <w:iCs w:val="0"/>
                <w:color w:val="000000"/>
                <w:sz w:val="24"/>
                <w:szCs w:val="24"/>
                <w:u w:val="none"/>
              </w:rPr>
            </w:pPr>
          </w:p>
        </w:tc>
        <w:tc>
          <w:tcPr>
            <w:tcW w:w="838" w:type="dxa"/>
            <w:vMerge w:val="continue"/>
            <w:tcBorders>
              <w:top w:val="double" w:color="000000" w:sz="4" w:space="0"/>
              <w:left w:val="single" w:color="000000" w:sz="8" w:space="0"/>
              <w:bottom w:val="single" w:color="000000" w:sz="8" w:space="0"/>
              <w:right w:val="single" w:color="000000" w:sz="8" w:space="0"/>
            </w:tcBorders>
            <w:shd w:val="clear" w:color="auto" w:fill="auto"/>
            <w:vAlign w:val="center"/>
          </w:tcPr>
          <w:p w14:paraId="483D0B5A">
            <w:pPr>
              <w:jc w:val="center"/>
              <w:rPr>
                <w:rFonts w:hint="eastAsia" w:ascii="仿宋" w:hAnsi="仿宋" w:eastAsia="仿宋" w:cs="仿宋"/>
                <w:i w:val="0"/>
                <w:iCs w:val="0"/>
                <w:color w:val="000000"/>
                <w:sz w:val="24"/>
                <w:szCs w:val="24"/>
                <w:u w:val="none"/>
              </w:rPr>
            </w:pPr>
          </w:p>
        </w:tc>
        <w:tc>
          <w:tcPr>
            <w:tcW w:w="875" w:type="dxa"/>
            <w:vMerge w:val="continue"/>
            <w:tcBorders>
              <w:top w:val="double" w:color="000000" w:sz="4" w:space="0"/>
              <w:left w:val="single" w:color="000000" w:sz="8" w:space="0"/>
              <w:bottom w:val="single" w:color="000000" w:sz="8" w:space="0"/>
              <w:right w:val="single" w:color="000000" w:sz="8" w:space="0"/>
            </w:tcBorders>
            <w:shd w:val="clear" w:color="auto" w:fill="auto"/>
            <w:vAlign w:val="center"/>
          </w:tcPr>
          <w:p w14:paraId="3D6D77BA">
            <w:pPr>
              <w:jc w:val="center"/>
              <w:rPr>
                <w:rFonts w:hint="eastAsia" w:ascii="仿宋" w:hAnsi="仿宋" w:eastAsia="仿宋" w:cs="仿宋"/>
                <w:i w:val="0"/>
                <w:iCs w:val="0"/>
                <w:color w:val="000000"/>
                <w:sz w:val="24"/>
                <w:szCs w:val="24"/>
                <w:u w:val="none"/>
              </w:rPr>
            </w:pPr>
          </w:p>
        </w:tc>
        <w:tc>
          <w:tcPr>
            <w:tcW w:w="1137" w:type="dxa"/>
            <w:vMerge w:val="continue"/>
            <w:tcBorders>
              <w:top w:val="double" w:color="000000" w:sz="4" w:space="0"/>
              <w:left w:val="single" w:color="000000" w:sz="8" w:space="0"/>
              <w:bottom w:val="single" w:color="000000" w:sz="8" w:space="0"/>
              <w:right w:val="single" w:color="000000" w:sz="8" w:space="0"/>
            </w:tcBorders>
            <w:shd w:val="clear" w:color="auto" w:fill="auto"/>
            <w:vAlign w:val="center"/>
          </w:tcPr>
          <w:p w14:paraId="514FB0A2">
            <w:pPr>
              <w:jc w:val="center"/>
              <w:rPr>
                <w:rFonts w:hint="eastAsia" w:ascii="仿宋" w:hAnsi="仿宋" w:eastAsia="仿宋" w:cs="仿宋"/>
                <w:i w:val="0"/>
                <w:iCs w:val="0"/>
                <w:color w:val="000000"/>
                <w:sz w:val="24"/>
                <w:szCs w:val="24"/>
                <w:u w:val="none"/>
              </w:rPr>
            </w:pPr>
          </w:p>
        </w:tc>
        <w:tc>
          <w:tcPr>
            <w:tcW w:w="988" w:type="dxa"/>
            <w:vMerge w:val="continue"/>
            <w:tcBorders>
              <w:top w:val="double" w:color="000000" w:sz="4" w:space="0"/>
              <w:left w:val="single" w:color="000000" w:sz="8" w:space="0"/>
              <w:bottom w:val="single" w:color="000000" w:sz="8" w:space="0"/>
              <w:right w:val="single" w:color="000000" w:sz="8" w:space="0"/>
            </w:tcBorders>
            <w:shd w:val="clear" w:color="auto" w:fill="auto"/>
            <w:vAlign w:val="center"/>
          </w:tcPr>
          <w:p w14:paraId="16FB7B86">
            <w:pPr>
              <w:jc w:val="center"/>
              <w:rPr>
                <w:rFonts w:hint="eastAsia" w:ascii="仿宋" w:hAnsi="仿宋" w:eastAsia="仿宋" w:cs="仿宋"/>
                <w:i w:val="0"/>
                <w:iCs w:val="0"/>
                <w:color w:val="000000"/>
                <w:sz w:val="24"/>
                <w:szCs w:val="24"/>
                <w:u w:val="none"/>
              </w:rPr>
            </w:pPr>
          </w:p>
        </w:tc>
        <w:tc>
          <w:tcPr>
            <w:tcW w:w="787" w:type="dxa"/>
            <w:vMerge w:val="continue"/>
            <w:tcBorders>
              <w:top w:val="double" w:color="000000" w:sz="4" w:space="0"/>
              <w:left w:val="single" w:color="000000" w:sz="8" w:space="0"/>
              <w:bottom w:val="single" w:color="000000" w:sz="8" w:space="0"/>
              <w:right w:val="double" w:color="000000" w:sz="4" w:space="0"/>
            </w:tcBorders>
            <w:shd w:val="clear" w:color="auto" w:fill="auto"/>
            <w:vAlign w:val="center"/>
          </w:tcPr>
          <w:p w14:paraId="405B87DE">
            <w:pPr>
              <w:jc w:val="center"/>
              <w:rPr>
                <w:rFonts w:hint="eastAsia" w:ascii="仿宋" w:hAnsi="仿宋" w:eastAsia="仿宋" w:cs="仿宋"/>
                <w:i w:val="0"/>
                <w:iCs w:val="0"/>
                <w:color w:val="000000"/>
                <w:sz w:val="24"/>
                <w:szCs w:val="24"/>
                <w:u w:val="none"/>
              </w:rPr>
            </w:pPr>
          </w:p>
        </w:tc>
      </w:tr>
      <w:tr w14:paraId="7354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637" w:type="dxa"/>
            <w:gridSpan w:val="8"/>
            <w:tcBorders>
              <w:top w:val="nil"/>
              <w:left w:val="single" w:color="000000" w:sz="4" w:space="0"/>
              <w:bottom w:val="single" w:color="000000" w:sz="4" w:space="0"/>
              <w:right w:val="nil"/>
            </w:tcBorders>
            <w:shd w:val="clear" w:color="auto" w:fill="auto"/>
            <w:noWrap/>
            <w:vAlign w:val="center"/>
          </w:tcPr>
          <w:p w14:paraId="4C954E24">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一、福光社康中心电梯井防水工程</w:t>
            </w:r>
          </w:p>
        </w:tc>
      </w:tr>
      <w:tr w14:paraId="532A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1E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67" w:type="dxa"/>
            <w:vMerge w:val="restart"/>
            <w:tcBorders>
              <w:top w:val="single" w:color="000000" w:sz="4" w:space="0"/>
              <w:left w:val="single" w:color="000000" w:sz="4" w:space="0"/>
              <w:bottom w:val="nil"/>
              <w:right w:val="single" w:color="000000" w:sz="4" w:space="0"/>
            </w:tcBorders>
            <w:shd w:val="clear" w:color="auto" w:fill="auto"/>
            <w:vAlign w:val="center"/>
          </w:tcPr>
          <w:p w14:paraId="36A85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电梯井基坑底板渗漏封堵</w:t>
            </w: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02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注浆液</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20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49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3BD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请在报价页填写</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159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请在报价页填写</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A2D9">
            <w:pPr>
              <w:jc w:val="center"/>
              <w:rPr>
                <w:rFonts w:hint="eastAsia" w:ascii="仿宋" w:hAnsi="仿宋" w:eastAsia="仿宋" w:cs="仿宋"/>
                <w:i w:val="0"/>
                <w:iCs w:val="0"/>
                <w:color w:val="000000"/>
                <w:sz w:val="24"/>
                <w:szCs w:val="24"/>
                <w:u w:val="none"/>
              </w:rPr>
            </w:pPr>
          </w:p>
        </w:tc>
      </w:tr>
      <w:tr w14:paraId="378B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C3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67" w:type="dxa"/>
            <w:vMerge w:val="continue"/>
            <w:tcBorders>
              <w:top w:val="single" w:color="000000" w:sz="4" w:space="0"/>
              <w:left w:val="single" w:color="000000" w:sz="4" w:space="0"/>
              <w:bottom w:val="nil"/>
              <w:right w:val="single" w:color="000000" w:sz="4" w:space="0"/>
            </w:tcBorders>
            <w:shd w:val="clear" w:color="auto" w:fill="auto"/>
            <w:vAlign w:val="center"/>
          </w:tcPr>
          <w:p w14:paraId="310A8CB3">
            <w:pPr>
              <w:jc w:val="center"/>
              <w:rPr>
                <w:rFonts w:hint="eastAsia" w:ascii="仿宋" w:hAnsi="仿宋" w:eastAsia="仿宋" w:cs="仿宋"/>
                <w:i w:val="0"/>
                <w:iCs w:val="0"/>
                <w:color w:val="000000"/>
                <w:sz w:val="24"/>
                <w:szCs w:val="24"/>
                <w:u w:val="none"/>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96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“堵漏灵”刚性防水</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6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C5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748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A3BB">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B61C">
            <w:pPr>
              <w:jc w:val="center"/>
              <w:rPr>
                <w:rFonts w:hint="eastAsia" w:ascii="仿宋" w:hAnsi="仿宋" w:eastAsia="仿宋" w:cs="仿宋"/>
                <w:i w:val="0"/>
                <w:iCs w:val="0"/>
                <w:color w:val="000000"/>
                <w:sz w:val="24"/>
                <w:szCs w:val="24"/>
                <w:u w:val="none"/>
              </w:rPr>
            </w:pPr>
          </w:p>
        </w:tc>
      </w:tr>
      <w:tr w14:paraId="1CE7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3B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67" w:type="dxa"/>
            <w:vMerge w:val="continue"/>
            <w:tcBorders>
              <w:top w:val="single" w:color="000000" w:sz="4" w:space="0"/>
              <w:left w:val="single" w:color="000000" w:sz="4" w:space="0"/>
              <w:bottom w:val="nil"/>
              <w:right w:val="single" w:color="000000" w:sz="4" w:space="0"/>
            </w:tcBorders>
            <w:shd w:val="clear" w:color="auto" w:fill="auto"/>
            <w:vAlign w:val="center"/>
          </w:tcPr>
          <w:p w14:paraId="5C30960A">
            <w:pPr>
              <w:jc w:val="center"/>
              <w:rPr>
                <w:rFonts w:hint="eastAsia" w:ascii="仿宋" w:hAnsi="仿宋" w:eastAsia="仿宋" w:cs="仿宋"/>
                <w:i w:val="0"/>
                <w:iCs w:val="0"/>
                <w:color w:val="000000"/>
                <w:sz w:val="24"/>
                <w:szCs w:val="24"/>
                <w:u w:val="none"/>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4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聚合物防水砂浆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C7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58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69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AD7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E233">
            <w:pPr>
              <w:jc w:val="center"/>
              <w:rPr>
                <w:rFonts w:hint="eastAsia" w:ascii="仿宋" w:hAnsi="仿宋" w:eastAsia="仿宋" w:cs="仿宋"/>
                <w:i w:val="0"/>
                <w:iCs w:val="0"/>
                <w:color w:val="000000"/>
                <w:sz w:val="24"/>
                <w:szCs w:val="24"/>
                <w:u w:val="none"/>
              </w:rPr>
            </w:pPr>
          </w:p>
        </w:tc>
      </w:tr>
      <w:tr w14:paraId="7DAE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BD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67" w:type="dxa"/>
            <w:vMerge w:val="continue"/>
            <w:tcBorders>
              <w:top w:val="single" w:color="000000" w:sz="4" w:space="0"/>
              <w:left w:val="single" w:color="000000" w:sz="4" w:space="0"/>
              <w:bottom w:val="nil"/>
              <w:right w:val="single" w:color="000000" w:sz="4" w:space="0"/>
            </w:tcBorders>
            <w:shd w:val="clear" w:color="auto" w:fill="auto"/>
            <w:vAlign w:val="center"/>
          </w:tcPr>
          <w:p w14:paraId="3A4A998B">
            <w:pPr>
              <w:jc w:val="center"/>
              <w:rPr>
                <w:rFonts w:hint="eastAsia" w:ascii="仿宋" w:hAnsi="仿宋" w:eastAsia="仿宋" w:cs="仿宋"/>
                <w:i w:val="0"/>
                <w:iCs w:val="0"/>
                <w:color w:val="000000"/>
                <w:sz w:val="24"/>
                <w:szCs w:val="24"/>
                <w:u w:val="none"/>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2B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水泥基渗透结晶型防水涂料</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30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C7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2FC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A2B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2B75">
            <w:pPr>
              <w:jc w:val="center"/>
              <w:rPr>
                <w:rFonts w:hint="eastAsia" w:ascii="仿宋" w:hAnsi="仿宋" w:eastAsia="仿宋" w:cs="仿宋"/>
                <w:i w:val="0"/>
                <w:iCs w:val="0"/>
                <w:color w:val="000000"/>
                <w:sz w:val="24"/>
                <w:szCs w:val="24"/>
                <w:u w:val="none"/>
              </w:rPr>
            </w:pPr>
          </w:p>
        </w:tc>
      </w:tr>
      <w:tr w14:paraId="0612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C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67" w:type="dxa"/>
            <w:vMerge w:val="continue"/>
            <w:tcBorders>
              <w:top w:val="single" w:color="000000" w:sz="4" w:space="0"/>
              <w:left w:val="single" w:color="000000" w:sz="4" w:space="0"/>
              <w:bottom w:val="nil"/>
              <w:right w:val="single" w:color="000000" w:sz="4" w:space="0"/>
            </w:tcBorders>
            <w:shd w:val="clear" w:color="auto" w:fill="auto"/>
            <w:vAlign w:val="center"/>
          </w:tcPr>
          <w:p w14:paraId="75AB512B">
            <w:pPr>
              <w:jc w:val="center"/>
              <w:rPr>
                <w:rFonts w:hint="eastAsia" w:ascii="仿宋" w:hAnsi="仿宋" w:eastAsia="仿宋" w:cs="仿宋"/>
                <w:i w:val="0"/>
                <w:iCs w:val="0"/>
                <w:color w:val="000000"/>
                <w:sz w:val="24"/>
                <w:szCs w:val="24"/>
                <w:u w:val="none"/>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0D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0.7mm厚聚乙烯丙纶防水卷材</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3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00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C37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B2F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D3E6">
            <w:pPr>
              <w:jc w:val="center"/>
              <w:rPr>
                <w:rFonts w:hint="eastAsia" w:ascii="仿宋" w:hAnsi="仿宋" w:eastAsia="仿宋" w:cs="仿宋"/>
                <w:i w:val="0"/>
                <w:iCs w:val="0"/>
                <w:color w:val="000000"/>
                <w:sz w:val="24"/>
                <w:szCs w:val="24"/>
                <w:u w:val="none"/>
              </w:rPr>
            </w:pPr>
          </w:p>
        </w:tc>
      </w:tr>
      <w:tr w14:paraId="63E2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57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67" w:type="dxa"/>
            <w:vMerge w:val="continue"/>
            <w:tcBorders>
              <w:top w:val="single" w:color="000000" w:sz="4" w:space="0"/>
              <w:left w:val="single" w:color="000000" w:sz="4" w:space="0"/>
              <w:bottom w:val="nil"/>
              <w:right w:val="single" w:color="000000" w:sz="4" w:space="0"/>
            </w:tcBorders>
            <w:shd w:val="clear" w:color="auto" w:fill="auto"/>
            <w:vAlign w:val="center"/>
          </w:tcPr>
          <w:p w14:paraId="45B98647">
            <w:pPr>
              <w:jc w:val="center"/>
              <w:rPr>
                <w:rFonts w:hint="eastAsia" w:ascii="仿宋" w:hAnsi="仿宋" w:eastAsia="仿宋" w:cs="仿宋"/>
                <w:i w:val="0"/>
                <w:iCs w:val="0"/>
                <w:color w:val="000000"/>
                <w:sz w:val="24"/>
                <w:szCs w:val="24"/>
                <w:u w:val="none"/>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E1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注浆管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EB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F2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8DFF">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582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5874">
            <w:pPr>
              <w:jc w:val="center"/>
              <w:rPr>
                <w:rFonts w:hint="eastAsia" w:ascii="仿宋" w:hAnsi="仿宋" w:eastAsia="仿宋" w:cs="仿宋"/>
                <w:i w:val="0"/>
                <w:iCs w:val="0"/>
                <w:color w:val="000000"/>
                <w:sz w:val="24"/>
                <w:szCs w:val="24"/>
                <w:u w:val="none"/>
              </w:rPr>
            </w:pPr>
          </w:p>
        </w:tc>
      </w:tr>
      <w:tr w14:paraId="619D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3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67" w:type="dxa"/>
            <w:vMerge w:val="continue"/>
            <w:tcBorders>
              <w:top w:val="single" w:color="000000" w:sz="4" w:space="0"/>
              <w:left w:val="single" w:color="000000" w:sz="4" w:space="0"/>
              <w:bottom w:val="nil"/>
              <w:right w:val="single" w:color="000000" w:sz="4" w:space="0"/>
            </w:tcBorders>
            <w:shd w:val="clear" w:color="auto" w:fill="auto"/>
            <w:vAlign w:val="center"/>
          </w:tcPr>
          <w:p w14:paraId="04656805">
            <w:pPr>
              <w:jc w:val="center"/>
              <w:rPr>
                <w:rFonts w:hint="eastAsia" w:ascii="仿宋" w:hAnsi="仿宋" w:eastAsia="仿宋" w:cs="仿宋"/>
                <w:i w:val="0"/>
                <w:iCs w:val="0"/>
                <w:color w:val="000000"/>
                <w:sz w:val="24"/>
                <w:szCs w:val="24"/>
                <w:u w:val="none"/>
              </w:rPr>
            </w:pPr>
          </w:p>
        </w:tc>
        <w:tc>
          <w:tcPr>
            <w:tcW w:w="2905" w:type="dxa"/>
            <w:tcBorders>
              <w:top w:val="single" w:color="000000" w:sz="4" w:space="0"/>
              <w:left w:val="single" w:color="000000" w:sz="4" w:space="0"/>
              <w:bottom w:val="nil"/>
              <w:right w:val="single" w:color="000000" w:sz="4" w:space="0"/>
            </w:tcBorders>
            <w:shd w:val="clear" w:color="auto" w:fill="auto"/>
            <w:noWrap/>
            <w:vAlign w:val="center"/>
          </w:tcPr>
          <w:p w14:paraId="413AC5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注浆针头</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0B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C5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13.50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1681">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E85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3AD3">
            <w:pPr>
              <w:jc w:val="center"/>
              <w:rPr>
                <w:rFonts w:hint="eastAsia" w:ascii="仿宋" w:hAnsi="仿宋" w:eastAsia="仿宋" w:cs="仿宋"/>
                <w:i w:val="0"/>
                <w:iCs w:val="0"/>
                <w:color w:val="000000"/>
                <w:sz w:val="24"/>
                <w:szCs w:val="24"/>
                <w:u w:val="none"/>
              </w:rPr>
            </w:pPr>
          </w:p>
        </w:tc>
      </w:tr>
      <w:tr w14:paraId="6AAB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D6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B46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垃圾清运</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1A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装袋、打扫、搬运、运输</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5D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F4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 </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E51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880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5AF3">
            <w:pPr>
              <w:jc w:val="center"/>
              <w:rPr>
                <w:rFonts w:hint="eastAsia" w:ascii="仿宋" w:hAnsi="仿宋" w:eastAsia="仿宋" w:cs="仿宋"/>
                <w:i w:val="0"/>
                <w:iCs w:val="0"/>
                <w:color w:val="000000"/>
                <w:sz w:val="24"/>
                <w:szCs w:val="24"/>
                <w:u w:val="none"/>
              </w:rPr>
            </w:pPr>
          </w:p>
        </w:tc>
      </w:tr>
      <w:tr w14:paraId="5D3A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0F5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695F">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920D">
            <w:pPr>
              <w:jc w:val="left"/>
              <w:rPr>
                <w:rFonts w:hint="eastAsia" w:ascii="仿宋" w:hAnsi="仿宋" w:eastAsia="仿宋" w:cs="仿宋"/>
                <w:i w:val="0"/>
                <w:iCs w:val="0"/>
                <w:color w:val="000000"/>
                <w:sz w:val="24"/>
                <w:szCs w:val="24"/>
                <w:u w:val="none"/>
              </w:rPr>
            </w:pPr>
          </w:p>
        </w:tc>
      </w:tr>
      <w:tr w14:paraId="2AD0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637" w:type="dxa"/>
            <w:gridSpan w:val="8"/>
            <w:tcBorders>
              <w:top w:val="nil"/>
              <w:left w:val="single" w:color="000000" w:sz="4" w:space="0"/>
              <w:bottom w:val="single" w:color="000000" w:sz="4" w:space="0"/>
              <w:right w:val="single" w:color="000000" w:sz="4" w:space="0"/>
            </w:tcBorders>
            <w:shd w:val="clear" w:color="auto" w:fill="auto"/>
            <w:noWrap/>
            <w:vAlign w:val="center"/>
          </w:tcPr>
          <w:p w14:paraId="70D720B7">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二、深圳湾社康中心外窗维修工程</w:t>
            </w:r>
          </w:p>
        </w:tc>
      </w:tr>
      <w:tr w14:paraId="2183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40" w:type="dxa"/>
            <w:tcBorders>
              <w:top w:val="single" w:color="000000" w:sz="4" w:space="0"/>
              <w:left w:val="single" w:color="000000" w:sz="4" w:space="0"/>
              <w:bottom w:val="single" w:color="000000" w:sz="4" w:space="0"/>
              <w:right w:val="nil"/>
            </w:tcBorders>
            <w:shd w:val="clear" w:color="auto" w:fill="auto"/>
            <w:noWrap/>
            <w:vAlign w:val="center"/>
          </w:tcPr>
          <w:p w14:paraId="39431E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67" w:type="dxa"/>
            <w:tcBorders>
              <w:top w:val="single" w:color="000000" w:sz="4" w:space="0"/>
              <w:left w:val="single" w:color="000000" w:sz="4" w:space="0"/>
              <w:bottom w:val="single" w:color="000000" w:sz="4" w:space="0"/>
              <w:right w:val="nil"/>
            </w:tcBorders>
            <w:shd w:val="clear" w:color="auto" w:fill="auto"/>
            <w:noWrap/>
            <w:vAlign w:val="center"/>
          </w:tcPr>
          <w:p w14:paraId="073A31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平开窗</w:t>
            </w:r>
          </w:p>
        </w:tc>
        <w:tc>
          <w:tcPr>
            <w:tcW w:w="2905" w:type="dxa"/>
            <w:tcBorders>
              <w:top w:val="single" w:color="000000" w:sz="4" w:space="0"/>
              <w:left w:val="single" w:color="000000" w:sz="4" w:space="0"/>
              <w:bottom w:val="single" w:color="000000" w:sz="4" w:space="0"/>
              <w:right w:val="nil"/>
            </w:tcBorders>
            <w:shd w:val="clear" w:color="auto" w:fill="auto"/>
            <w:vAlign w:val="center"/>
          </w:tcPr>
          <w:p w14:paraId="4FC2A0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1、平开窗铰链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2、含铰链安装五金配件</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0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7B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DD2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9BB4">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EB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据实结算</w:t>
            </w:r>
          </w:p>
        </w:tc>
      </w:tr>
      <w:tr w14:paraId="4EBF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EF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83A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1E2B">
            <w:pPr>
              <w:jc w:val="left"/>
              <w:rPr>
                <w:rFonts w:hint="eastAsia" w:ascii="仿宋" w:hAnsi="仿宋" w:eastAsia="仿宋" w:cs="仿宋"/>
                <w:i w:val="0"/>
                <w:iCs w:val="0"/>
                <w:color w:val="000000"/>
                <w:sz w:val="24"/>
                <w:szCs w:val="24"/>
                <w:u w:val="none"/>
              </w:rPr>
            </w:pPr>
          </w:p>
        </w:tc>
      </w:tr>
      <w:tr w14:paraId="1666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637" w:type="dxa"/>
            <w:gridSpan w:val="8"/>
            <w:tcBorders>
              <w:top w:val="nil"/>
              <w:left w:val="single" w:color="000000" w:sz="4" w:space="0"/>
              <w:bottom w:val="single" w:color="000000" w:sz="4" w:space="0"/>
              <w:right w:val="single" w:color="000000" w:sz="4" w:space="0"/>
            </w:tcBorders>
            <w:shd w:val="clear" w:color="auto" w:fill="auto"/>
            <w:noWrap/>
            <w:vAlign w:val="center"/>
          </w:tcPr>
          <w:p w14:paraId="2E1D4D5C">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三、星海名城社康中心DR车临电改造</w:t>
            </w:r>
          </w:p>
        </w:tc>
      </w:tr>
      <w:tr w14:paraId="4136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C4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12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3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规格型号：RVV4mm2</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A7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4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5E71">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E1F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B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据实结算</w:t>
            </w:r>
          </w:p>
        </w:tc>
      </w:tr>
      <w:tr w14:paraId="04B4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77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03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空调插座（含底盒）</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4A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1.单相二极和三极插座；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2.规格：16A 250V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3.明装底盒</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42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0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AF6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762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D4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据实结算</w:t>
            </w:r>
          </w:p>
        </w:tc>
      </w:tr>
      <w:tr w14:paraId="6C84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0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63F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310">
            <w:pPr>
              <w:jc w:val="center"/>
              <w:rPr>
                <w:rFonts w:hint="eastAsia" w:ascii="仿宋" w:hAnsi="仿宋" w:eastAsia="仿宋" w:cs="仿宋"/>
                <w:i w:val="0"/>
                <w:iCs w:val="0"/>
                <w:color w:val="000000"/>
                <w:sz w:val="24"/>
                <w:szCs w:val="24"/>
                <w:u w:val="none"/>
              </w:rPr>
            </w:pPr>
          </w:p>
        </w:tc>
      </w:tr>
      <w:tr w14:paraId="5F4C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63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2071">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四、赤湾社康中心外立面标识牌加固及空调漏水维修</w:t>
            </w:r>
          </w:p>
        </w:tc>
      </w:tr>
      <w:tr w14:paraId="1EAC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DA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AE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外立面标识牌</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6A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1.标识牌拆除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2.高空作业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3.含余方弃置</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9A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5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4EA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41AF">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3ADB">
            <w:pPr>
              <w:jc w:val="center"/>
              <w:rPr>
                <w:rFonts w:hint="eastAsia" w:ascii="仿宋" w:hAnsi="仿宋" w:eastAsia="仿宋" w:cs="仿宋"/>
                <w:i w:val="0"/>
                <w:iCs w:val="0"/>
                <w:color w:val="000000"/>
                <w:sz w:val="24"/>
                <w:szCs w:val="24"/>
                <w:u w:val="none"/>
              </w:rPr>
            </w:pPr>
          </w:p>
        </w:tc>
      </w:tr>
      <w:tr w14:paraId="0D38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7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82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空调漏水</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89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1.空调检修、清洗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2.排水疏通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3.冷媒添加</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DA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4E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D8AB">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CD6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1186">
            <w:pPr>
              <w:jc w:val="center"/>
              <w:rPr>
                <w:rFonts w:hint="eastAsia" w:ascii="仿宋" w:hAnsi="仿宋" w:eastAsia="仿宋" w:cs="仿宋"/>
                <w:i w:val="0"/>
                <w:iCs w:val="0"/>
                <w:color w:val="000000"/>
                <w:sz w:val="24"/>
                <w:szCs w:val="24"/>
                <w:u w:val="none"/>
              </w:rPr>
            </w:pPr>
          </w:p>
        </w:tc>
      </w:tr>
      <w:tr w14:paraId="7D01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1E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509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F57A">
            <w:pPr>
              <w:jc w:val="left"/>
              <w:rPr>
                <w:rFonts w:hint="eastAsia" w:ascii="仿宋" w:hAnsi="仿宋" w:eastAsia="仿宋" w:cs="仿宋"/>
                <w:i w:val="0"/>
                <w:iCs w:val="0"/>
                <w:color w:val="000000"/>
                <w:sz w:val="24"/>
                <w:szCs w:val="24"/>
                <w:u w:val="none"/>
              </w:rPr>
            </w:pPr>
          </w:p>
        </w:tc>
      </w:tr>
      <w:tr w14:paraId="6D6C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40" w:type="dxa"/>
            <w:tcBorders>
              <w:top w:val="single" w:color="000000" w:sz="4" w:space="0"/>
              <w:left w:val="single" w:color="000000" w:sz="4" w:space="0"/>
              <w:bottom w:val="nil"/>
              <w:right w:val="single" w:color="000000" w:sz="4" w:space="0"/>
            </w:tcBorders>
            <w:shd w:val="clear" w:color="auto" w:fill="auto"/>
            <w:noWrap/>
            <w:vAlign w:val="center"/>
          </w:tcPr>
          <w:p w14:paraId="4B86BE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367" w:type="dxa"/>
            <w:tcBorders>
              <w:top w:val="single" w:color="000000" w:sz="4" w:space="0"/>
              <w:left w:val="single" w:color="000000" w:sz="4" w:space="0"/>
              <w:bottom w:val="nil"/>
              <w:right w:val="single" w:color="000000" w:sz="4" w:space="0"/>
            </w:tcBorders>
            <w:shd w:val="clear" w:color="auto" w:fill="auto"/>
            <w:noWrap/>
            <w:vAlign w:val="center"/>
          </w:tcPr>
          <w:p w14:paraId="69C521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安全文明施工</w:t>
            </w:r>
          </w:p>
        </w:tc>
        <w:tc>
          <w:tcPr>
            <w:tcW w:w="2905" w:type="dxa"/>
            <w:tcBorders>
              <w:top w:val="single" w:color="000000" w:sz="4" w:space="0"/>
              <w:left w:val="single" w:color="000000" w:sz="4" w:space="0"/>
              <w:bottom w:val="nil"/>
              <w:right w:val="single" w:color="000000" w:sz="4" w:space="0"/>
            </w:tcBorders>
            <w:shd w:val="clear" w:color="auto" w:fill="auto"/>
            <w:noWrap/>
            <w:vAlign w:val="center"/>
          </w:tcPr>
          <w:p w14:paraId="2AA11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安全保护、抽水泵、地面保护</w:t>
            </w:r>
          </w:p>
        </w:tc>
        <w:tc>
          <w:tcPr>
            <w:tcW w:w="838" w:type="dxa"/>
            <w:tcBorders>
              <w:top w:val="single" w:color="000000" w:sz="4" w:space="0"/>
              <w:left w:val="single" w:color="000000" w:sz="4" w:space="0"/>
              <w:bottom w:val="nil"/>
              <w:right w:val="single" w:color="000000" w:sz="4" w:space="0"/>
            </w:tcBorders>
            <w:shd w:val="clear" w:color="auto" w:fill="auto"/>
            <w:noWrap/>
            <w:vAlign w:val="center"/>
          </w:tcPr>
          <w:p w14:paraId="499BD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875" w:type="dxa"/>
            <w:tcBorders>
              <w:top w:val="single" w:color="000000" w:sz="4" w:space="0"/>
              <w:left w:val="single" w:color="000000" w:sz="4" w:space="0"/>
              <w:bottom w:val="nil"/>
              <w:right w:val="single" w:color="000000" w:sz="4" w:space="0"/>
            </w:tcBorders>
            <w:shd w:val="clear" w:color="auto" w:fill="auto"/>
            <w:noWrap/>
            <w:vAlign w:val="center"/>
          </w:tcPr>
          <w:p w14:paraId="3680E4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0F7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6EA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53CC">
            <w:pPr>
              <w:jc w:val="center"/>
              <w:rPr>
                <w:rFonts w:hint="eastAsia" w:ascii="仿宋" w:hAnsi="仿宋" w:eastAsia="仿宋" w:cs="仿宋"/>
                <w:i w:val="0"/>
                <w:iCs w:val="0"/>
                <w:color w:val="000000"/>
                <w:sz w:val="24"/>
                <w:szCs w:val="24"/>
                <w:u w:val="none"/>
              </w:rPr>
            </w:pPr>
          </w:p>
        </w:tc>
      </w:tr>
      <w:tr w14:paraId="7ED0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AE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合计（含税总价）</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64B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4AE7">
            <w:pPr>
              <w:jc w:val="center"/>
              <w:rPr>
                <w:rFonts w:hint="eastAsia" w:ascii="仿宋" w:hAnsi="仿宋" w:eastAsia="仿宋" w:cs="仿宋"/>
                <w:i w:val="0"/>
                <w:iCs w:val="0"/>
                <w:color w:val="000000"/>
                <w:sz w:val="24"/>
                <w:szCs w:val="24"/>
                <w:u w:val="none"/>
              </w:rPr>
            </w:pPr>
          </w:p>
        </w:tc>
      </w:tr>
    </w:tbl>
    <w:p w14:paraId="3701F181">
      <w:pPr>
        <w:widowControl/>
        <w:ind w:firstLine="480" w:firstLineChars="200"/>
        <w:jc w:val="left"/>
        <w:rPr>
          <w:rFonts w:hint="eastAsia" w:ascii="仿宋" w:hAnsi="仿宋" w:eastAsia="仿宋" w:cs="仿宋"/>
          <w:sz w:val="24"/>
          <w:szCs w:val="24"/>
          <w:highlight w:val="none"/>
          <w:lang w:val="en-US" w:eastAsia="zh-CN"/>
        </w:rPr>
      </w:pPr>
    </w:p>
    <w:p w14:paraId="4144B7DD">
      <w:pPr>
        <w:widowControl/>
        <w:ind w:firstLine="480" w:firstLineChars="200"/>
        <w:jc w:val="left"/>
        <w:rPr>
          <w:rFonts w:hint="eastAsia" w:ascii="仿宋" w:hAnsi="仿宋" w:eastAsia="仿宋" w:cs="仿宋"/>
          <w:sz w:val="24"/>
          <w:szCs w:val="24"/>
          <w:highlight w:val="none"/>
          <w:lang w:val="en-US" w:eastAsia="zh-CN"/>
        </w:rPr>
      </w:pPr>
    </w:p>
    <w:p w14:paraId="37CDD839">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工程量清单为估算工程量，实际施工时经甲方同意，可按最优方案实施，对于本文未列明的事宜，投标人经现场踏勘后认为必需的分项也可另列入总价清单内。最终结算以集团第三方造价审计公司审核结果为准。</w:t>
      </w:r>
    </w:p>
    <w:p w14:paraId="2A613198">
      <w:pPr>
        <w:widowControl/>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2.成交供应商的报价应包含本项目所需货物的制造、运输、维保、人工、税务等全部费用，甲方不再额外安排费用。</w:t>
      </w:r>
    </w:p>
    <w:p w14:paraId="1ADF5AF1">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施工安全：中标人施工期间必须达到有关部门规定的安全文明施工标准，避免干扰社康机构正常工作秩序，认真做好施工现场防护、防火、噪声、用电等管理工作，承担相应责任，确保施工区域道路通畅，保持施工现场整洁，做到工完场清，达到国家卫生城市标准。</w:t>
      </w:r>
    </w:p>
    <w:p w14:paraId="7AC05FF3">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4.中标人应积极配合采购人进行项目审计和财务结算工作，提供真实、完整的项目资料和财务票据。</w:t>
      </w:r>
    </w:p>
    <w:p w14:paraId="20099D7F">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5.中标人应遵守国家法律法规和采购人的各项规章制度，诚信经营，不得有违法违规行为。</w:t>
      </w:r>
    </w:p>
    <w:p w14:paraId="7D5A0A91">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6.中标人应接受采购人或第三方审计机构的监督和检查，对发现的问题及时整改，确保项目质量符合国家相关标准。</w:t>
      </w:r>
    </w:p>
    <w:p w14:paraId="17D17FB6">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7.本项目实行终身责任制，中标人需承担工程质量安全的首要责任，需对项目全生命周期负责，应建立完善的售后服务体系，确保在项目保修期结束后，仍能为采购人提供及时、专业的维修和维护服务。</w:t>
      </w:r>
    </w:p>
    <w:p w14:paraId="42B08B27">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8.中标人应承诺保守采购人的商业秘密和技术资料，未经采购人同意，不得擅自泄露给第三方。中标人在项目实施过程中获取的所有信息，均应严格保密，不得用于除本项目之外的其他目的。</w:t>
      </w:r>
    </w:p>
    <w:p w14:paraId="1F174845">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9.中标人在项目实施过程中，应注重节约资源，采取有效措施减少能源消耗和废弃物排放，实现可持续发展。中标人应优先选择环保、节能的材料和设备，推广使用新技术、新工艺，降低项目对环境的影响。</w:t>
      </w:r>
    </w:p>
    <w:p w14:paraId="72EB4DFA">
      <w:pPr>
        <w:adjustRightInd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10.中标人在与采购人合作期间，应遵守商业道德和职业操守，保持诚信经营的原则。中标人应承诺不从事任何违法、违规行为，不损害采购人的利益和声誉。</w:t>
      </w:r>
    </w:p>
    <w:p w14:paraId="5C79AA24">
      <w:pPr>
        <w:widowControl/>
        <w:jc w:val="left"/>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商务要求：</w:t>
      </w:r>
    </w:p>
    <w:p w14:paraId="26DADA34">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1.合同履行期限：</w:t>
      </w:r>
      <w:r>
        <w:rPr>
          <w:rFonts w:hint="eastAsia" w:ascii="仿宋" w:hAnsi="仿宋" w:eastAsia="仿宋" w:cs="仿宋"/>
          <w:sz w:val="24"/>
          <w:szCs w:val="24"/>
          <w:highlight w:val="none"/>
          <w:lang w:val="en-US" w:eastAsia="zh-CN"/>
        </w:rPr>
        <w:t>7日历天，具体开工日期以甲方通知为准。</w:t>
      </w:r>
    </w:p>
    <w:p w14:paraId="08BB8396">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2.验收方式：</w:t>
      </w:r>
      <w:r>
        <w:rPr>
          <w:rFonts w:hint="eastAsia" w:ascii="仿宋" w:hAnsi="仿宋" w:eastAsia="仿宋" w:cs="仿宋"/>
          <w:sz w:val="24"/>
          <w:szCs w:val="24"/>
          <w:highlight w:val="none"/>
          <w:lang w:val="en-US" w:eastAsia="zh-CN"/>
        </w:rPr>
        <w:t>乙方完工后，需通知甲方对现场进行验收，涉及隐蔽工程的，乙方应在施工前告知甲方（社康中心）进行现场监督，隐蔽工程合格后方可进行下一阶段施工。</w:t>
      </w:r>
    </w:p>
    <w:p w14:paraId="20A0207A">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3.付款方式：</w:t>
      </w:r>
      <w:r>
        <w:rPr>
          <w:rFonts w:hint="eastAsia" w:ascii="仿宋" w:hAnsi="仿宋" w:eastAsia="仿宋" w:cs="仿宋"/>
          <w:sz w:val="24"/>
          <w:szCs w:val="24"/>
          <w:highlight w:val="none"/>
          <w:lang w:val="en-US" w:eastAsia="zh-CN"/>
        </w:rPr>
        <w:t>项目竣工验收后，乙方向甲方提交项目结算书，经甲方委托的第三方造价审计审核后，按最终审定金额支付至审定金额的100%。</w:t>
      </w:r>
    </w:p>
    <w:p w14:paraId="0E1EF9AF">
      <w:pPr>
        <w:widowControl/>
        <w:ind w:firstLine="480" w:firstLineChars="200"/>
        <w:jc w:val="left"/>
        <w:rPr>
          <w:rFonts w:hint="eastAsia"/>
        </w:rPr>
      </w:pPr>
      <w:r>
        <w:rPr>
          <w:rFonts w:hint="eastAsia" w:ascii="仿宋" w:hAnsi="仿宋" w:eastAsia="仿宋" w:cs="仿宋"/>
          <w:sz w:val="24"/>
          <w:szCs w:val="24"/>
          <w:highlight w:val="none"/>
        </w:rPr>
        <w:t>4.免费保修期：</w:t>
      </w:r>
      <w:r>
        <w:rPr>
          <w:rFonts w:hint="eastAsia" w:ascii="仿宋" w:hAnsi="仿宋" w:eastAsia="仿宋" w:cs="仿宋"/>
          <w:sz w:val="24"/>
          <w:szCs w:val="24"/>
          <w:highlight w:val="none"/>
          <w:lang w:val="en-US" w:eastAsia="zh-CN"/>
        </w:rPr>
        <w:t>自项目验收合格之日起，工程缺陷责任期为2年，其中，防水工程缺陷责任期为5年，缺陷责任期内，中标人须进行免费维修。</w:t>
      </w:r>
    </w:p>
    <w:p w14:paraId="26ACFDCF">
      <w:pPr>
        <w:pStyle w:val="2"/>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vAlign w:val="center"/>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vAlign w:val="center"/>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vAlign w:val="center"/>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vAlign w:val="center"/>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6"/>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4E71358"/>
    <w:rsid w:val="05C70D93"/>
    <w:rsid w:val="072347D7"/>
    <w:rsid w:val="08BC337C"/>
    <w:rsid w:val="092C38DF"/>
    <w:rsid w:val="09EE200C"/>
    <w:rsid w:val="0A014C73"/>
    <w:rsid w:val="0D280723"/>
    <w:rsid w:val="1152407D"/>
    <w:rsid w:val="1181541B"/>
    <w:rsid w:val="122C190A"/>
    <w:rsid w:val="133B21D2"/>
    <w:rsid w:val="1452414A"/>
    <w:rsid w:val="154B4D60"/>
    <w:rsid w:val="160F0030"/>
    <w:rsid w:val="16443B86"/>
    <w:rsid w:val="167B7613"/>
    <w:rsid w:val="17F5757F"/>
    <w:rsid w:val="18D90AC3"/>
    <w:rsid w:val="1ACC0F02"/>
    <w:rsid w:val="1ACE017F"/>
    <w:rsid w:val="1C887A8F"/>
    <w:rsid w:val="1F081154"/>
    <w:rsid w:val="2095729A"/>
    <w:rsid w:val="21020A84"/>
    <w:rsid w:val="231F674B"/>
    <w:rsid w:val="239863D1"/>
    <w:rsid w:val="25254A0D"/>
    <w:rsid w:val="25EF3DCB"/>
    <w:rsid w:val="275E5359"/>
    <w:rsid w:val="27D41703"/>
    <w:rsid w:val="29EF1806"/>
    <w:rsid w:val="2A550045"/>
    <w:rsid w:val="2D936DA1"/>
    <w:rsid w:val="2FB06326"/>
    <w:rsid w:val="317D4289"/>
    <w:rsid w:val="31D7251E"/>
    <w:rsid w:val="31DC208A"/>
    <w:rsid w:val="344B7F15"/>
    <w:rsid w:val="345C3DCA"/>
    <w:rsid w:val="38E97BDC"/>
    <w:rsid w:val="392678C4"/>
    <w:rsid w:val="3A127140"/>
    <w:rsid w:val="3E911746"/>
    <w:rsid w:val="3F563A81"/>
    <w:rsid w:val="3FE25B2D"/>
    <w:rsid w:val="42303267"/>
    <w:rsid w:val="44000DE5"/>
    <w:rsid w:val="456914A4"/>
    <w:rsid w:val="45D4532C"/>
    <w:rsid w:val="45E74EF6"/>
    <w:rsid w:val="46EE566A"/>
    <w:rsid w:val="47AE1D32"/>
    <w:rsid w:val="47FD66C6"/>
    <w:rsid w:val="48FC114A"/>
    <w:rsid w:val="4A2F6F19"/>
    <w:rsid w:val="4DAC0334"/>
    <w:rsid w:val="4EB6211C"/>
    <w:rsid w:val="5175428D"/>
    <w:rsid w:val="53C4433B"/>
    <w:rsid w:val="545C11F4"/>
    <w:rsid w:val="59B23993"/>
    <w:rsid w:val="59F45752"/>
    <w:rsid w:val="5A807519"/>
    <w:rsid w:val="5C2710F9"/>
    <w:rsid w:val="5E317FAE"/>
    <w:rsid w:val="5E711D46"/>
    <w:rsid w:val="5EDB6B4A"/>
    <w:rsid w:val="615E6687"/>
    <w:rsid w:val="616421C6"/>
    <w:rsid w:val="62CF609E"/>
    <w:rsid w:val="643E547F"/>
    <w:rsid w:val="64E7316B"/>
    <w:rsid w:val="676F6DB2"/>
    <w:rsid w:val="68F67A18"/>
    <w:rsid w:val="69FA35A8"/>
    <w:rsid w:val="6A995FA5"/>
    <w:rsid w:val="6AA51683"/>
    <w:rsid w:val="6D8E6A2F"/>
    <w:rsid w:val="6ED628CC"/>
    <w:rsid w:val="6EE83F45"/>
    <w:rsid w:val="6F371D0A"/>
    <w:rsid w:val="704E2D79"/>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45"/>
    <w:qFormat/>
    <w:uiPriority w:val="9"/>
    <w:pPr>
      <w:keepNext/>
      <w:keepLines/>
      <w:spacing w:before="260" w:after="260" w:line="416" w:lineRule="auto"/>
      <w:outlineLvl w:val="2"/>
    </w:pPr>
    <w:rPr>
      <w:b/>
      <w:bCs/>
      <w:sz w:val="32"/>
      <w:szCs w:val="32"/>
    </w:rPr>
  </w:style>
  <w:style w:type="paragraph" w:styleId="6">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7">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
    <w:qFormat/>
    <w:uiPriority w:val="0"/>
    <w:rPr>
      <w:rFonts w:ascii="宋体" w:hAnsi="宋体"/>
      <w:b/>
      <w:szCs w:val="28"/>
    </w:rPr>
  </w:style>
  <w:style w:type="paragraph" w:styleId="8">
    <w:name w:val="toc 7"/>
    <w:basedOn w:val="1"/>
    <w:next w:val="1"/>
    <w:semiHidden/>
    <w:qFormat/>
    <w:uiPriority w:val="0"/>
    <w:pPr>
      <w:ind w:left="2520" w:leftChars="1200"/>
    </w:pPr>
  </w:style>
  <w:style w:type="paragraph" w:styleId="9">
    <w:name w:val="List Bullet 4"/>
    <w:basedOn w:val="1"/>
    <w:qFormat/>
    <w:uiPriority w:val="0"/>
    <w:pPr>
      <w:tabs>
        <w:tab w:val="left" w:pos="1620"/>
      </w:tabs>
    </w:pPr>
    <w:rPr>
      <w:szCs w:val="20"/>
    </w:rPr>
  </w:style>
  <w:style w:type="paragraph" w:styleId="10">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1">
    <w:name w:val="List Bullet"/>
    <w:basedOn w:val="1"/>
    <w:qFormat/>
    <w:uiPriority w:val="0"/>
    <w:pPr>
      <w:tabs>
        <w:tab w:val="left" w:pos="360"/>
      </w:tabs>
      <w:ind w:left="360"/>
    </w:pPr>
    <w:rPr>
      <w:szCs w:val="20"/>
    </w:rPr>
  </w:style>
  <w:style w:type="paragraph" w:styleId="12">
    <w:name w:val="Document Map"/>
    <w:basedOn w:val="1"/>
    <w:link w:val="44"/>
    <w:qFormat/>
    <w:uiPriority w:val="0"/>
    <w:pPr>
      <w:shd w:val="clear" w:color="auto" w:fill="000080"/>
    </w:pPr>
  </w:style>
  <w:style w:type="paragraph" w:styleId="13">
    <w:name w:val="annotation text"/>
    <w:basedOn w:val="1"/>
    <w:link w:val="67"/>
    <w:qFormat/>
    <w:uiPriority w:val="99"/>
    <w:pPr>
      <w:jc w:val="left"/>
    </w:pPr>
  </w:style>
  <w:style w:type="paragraph" w:styleId="14">
    <w:name w:val="Body Text 3"/>
    <w:basedOn w:val="1"/>
    <w:link w:val="66"/>
    <w:qFormat/>
    <w:uiPriority w:val="0"/>
    <w:pPr>
      <w:spacing w:after="120"/>
    </w:pPr>
    <w:rPr>
      <w:sz w:val="16"/>
      <w:szCs w:val="16"/>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3"/>
    <w:next w:val="13"/>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2"/>
    <w:qFormat/>
    <w:uiPriority w:val="0"/>
    <w:rPr>
      <w:kern w:val="2"/>
      <w:sz w:val="21"/>
      <w:szCs w:val="24"/>
      <w:shd w:val="clear" w:color="auto" w:fill="000080"/>
    </w:rPr>
  </w:style>
  <w:style w:type="character" w:customStyle="1" w:styleId="45">
    <w:name w:val="标题 3 Char"/>
    <w:link w:val="5"/>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2"/>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4"/>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6"/>
    <w:qFormat/>
    <w:uiPriority w:val="9"/>
    <w:rPr>
      <w:rFonts w:ascii="华文中宋" w:hAnsi="华文中宋" w:eastAsia="华文中宋"/>
      <w:b/>
      <w:bCs/>
      <w:kern w:val="2"/>
      <w:sz w:val="28"/>
    </w:rPr>
  </w:style>
  <w:style w:type="character" w:customStyle="1" w:styleId="56">
    <w:name w:val="正文缩进 Char"/>
    <w:link w:val="10"/>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4"/>
    <w:qFormat/>
    <w:uiPriority w:val="0"/>
    <w:rPr>
      <w:kern w:val="2"/>
      <w:sz w:val="16"/>
      <w:szCs w:val="16"/>
    </w:rPr>
  </w:style>
  <w:style w:type="character" w:customStyle="1" w:styleId="67">
    <w:name w:val="批注文字 Char"/>
    <w:link w:val="13"/>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7"/>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3653</Words>
  <Characters>3828</Characters>
  <Lines>19</Lines>
  <Paragraphs>5</Paragraphs>
  <TotalTime>3</TotalTime>
  <ScaleCrop>false</ScaleCrop>
  <LinksUpToDate>false</LinksUpToDate>
  <CharactersWithSpaces>4205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2025-08-19T06:19:15Z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eyJoZGlkIjoiMGQ5ZjM5YzJhMWU5ZGM1YjdlNmE4Mzg0ZGIzMjVkMDEiLCJ1c2VySWQiOiIyMzg0MDAzMzIifQ==</vt:lpwstr>
  </property>
</Properties>
</file>