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425EAAD7">
      <w:pPr>
        <w:spacing w:line="360" w:lineRule="auto"/>
        <w:ind w:left="2883" w:leftChars="608" w:hanging="1606" w:hangingChars="500"/>
        <w:jc w:val="left"/>
        <w:rPr>
          <w:rFonts w:hint="eastAsia" w:ascii="宋体" w:hAnsi="宋体" w:eastAsia="宋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2025年南山区医疗集团总部新增社康中心云专线业务采购</w:t>
      </w:r>
      <w:r>
        <w:rPr>
          <w:rFonts w:hint="eastAsia" w:ascii="宋体" w:hAnsi="宋体"/>
          <w:b/>
          <w:bCs/>
          <w:sz w:val="32"/>
          <w:szCs w:val="32"/>
          <w:u w:val="single"/>
          <w:lang w:val="en-US" w:eastAsia="zh-CN"/>
        </w:rPr>
        <w:t>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jc w:val="left"/>
        <w:rPr>
          <w:rFonts w:hint="eastAsia" w:ascii="宋体" w:hAnsi="宋体"/>
          <w:bCs/>
          <w:snapToGrid w:val="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三、报价供应商应填写单位/公司全称、同时加盖供应商公章及签字，于202</w:t>
      </w:r>
      <w:r>
        <w:rPr>
          <w:rFonts w:hint="eastAsia" w:ascii="宋体" w:hAnsi="宋体"/>
          <w:bCs/>
          <w:snapToGrid w:val="0"/>
          <w:kern w:val="0"/>
          <w:sz w:val="24"/>
          <w:lang w:val="en-US" w:eastAsia="zh-CN"/>
        </w:rPr>
        <w:t>5</w:t>
      </w:r>
      <w:r>
        <w:rPr>
          <w:rFonts w:hint="eastAsia" w:ascii="宋体" w:hAnsi="宋体"/>
          <w:bCs/>
          <w:snapToGrid w:val="0"/>
          <w:kern w:val="0"/>
          <w:sz w:val="24"/>
        </w:rPr>
        <w:t>年</w:t>
      </w:r>
      <w:r>
        <w:rPr>
          <w:rFonts w:hint="eastAsia" w:ascii="宋体" w:hAnsi="宋体"/>
          <w:bCs/>
          <w:snapToGrid w:val="0"/>
          <w:kern w:val="0"/>
          <w:sz w:val="24"/>
          <w:lang w:val="en-US" w:eastAsia="zh-CN"/>
        </w:rPr>
        <w:t>9</w:t>
      </w:r>
      <w:r>
        <w:rPr>
          <w:rFonts w:hint="eastAsia" w:ascii="宋体" w:hAnsi="宋体"/>
          <w:bCs/>
          <w:snapToGrid w:val="0"/>
          <w:kern w:val="0"/>
          <w:sz w:val="24"/>
        </w:rPr>
        <w:t>月</w:t>
      </w:r>
      <w:r>
        <w:rPr>
          <w:rFonts w:hint="eastAsia" w:ascii="宋体" w:hAnsi="宋体"/>
          <w:bCs/>
          <w:snapToGrid w:val="0"/>
          <w:kern w:val="0"/>
          <w:sz w:val="24"/>
          <w:lang w:val="en-US" w:eastAsia="zh-CN"/>
        </w:rPr>
        <w:t>23</w:t>
      </w:r>
      <w:r>
        <w:rPr>
          <w:rFonts w:hint="eastAsia" w:ascii="宋体" w:hAnsi="宋体"/>
          <w:bCs/>
          <w:snapToGrid w:val="0"/>
          <w:kern w:val="0"/>
          <w:sz w:val="24"/>
        </w:rPr>
        <w:t>日</w:t>
      </w:r>
      <w:r>
        <w:rPr>
          <w:rFonts w:hint="eastAsia" w:ascii="宋体" w:hAnsi="宋体"/>
          <w:bCs/>
          <w:snapToGrid w:val="0"/>
          <w:kern w:val="0"/>
          <w:sz w:val="24"/>
          <w:lang w:val="en-US" w:eastAsia="zh-CN"/>
        </w:rPr>
        <w:t>18</w:t>
      </w:r>
      <w:r>
        <w:rPr>
          <w:rFonts w:hint="eastAsia" w:ascii="宋体" w:hAnsi="宋体"/>
          <w:bCs/>
          <w:snapToGrid w:val="0"/>
          <w:kern w:val="0"/>
          <w:sz w:val="24"/>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w:t>
      </w:r>
      <w:bookmarkStart w:id="5" w:name="_GoBack"/>
      <w:bookmarkEnd w:id="5"/>
      <w:r>
        <w:rPr>
          <w:rFonts w:hint="eastAsia" w:ascii="宋体" w:hAnsi="宋体"/>
          <w:bCs/>
          <w:snapToGrid w:val="0"/>
          <w:kern w:val="0"/>
          <w:sz w:val="24"/>
        </w:rPr>
        <w:t>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张</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zhangjia@nsqyljtzb.cn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413室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DC6E68C">
      <w:pPr>
        <w:pStyle w:val="3"/>
        <w:spacing w:line="360" w:lineRule="auto"/>
        <w:jc w:val="left"/>
        <w:rPr>
          <w:rFonts w:hint="eastAsia" w:ascii="宋体" w:hAnsi="宋体" w:eastAsia="宋体"/>
          <w:sz w:val="24"/>
          <w:szCs w:val="24"/>
        </w:rPr>
      </w:pPr>
      <w:r>
        <w:rPr>
          <w:rFonts w:hint="eastAsia" w:ascii="宋体" w:hAnsi="宋体" w:eastAsia="宋体"/>
          <w:sz w:val="24"/>
          <w:szCs w:val="24"/>
        </w:rPr>
        <w:t>一、业务</w:t>
      </w:r>
      <w:r>
        <w:rPr>
          <w:rFonts w:ascii="宋体" w:hAnsi="宋体" w:eastAsia="宋体"/>
          <w:sz w:val="24"/>
          <w:szCs w:val="24"/>
        </w:rPr>
        <w:t>需求</w:t>
      </w:r>
    </w:p>
    <w:p w14:paraId="07854B41">
      <w:pPr>
        <w:pStyle w:val="179"/>
        <w:spacing w:line="360" w:lineRule="auto"/>
        <w:ind w:left="0" w:leftChars="0" w:firstLine="0" w:firstLineChars="0"/>
        <w:rPr>
          <w:rFonts w:hint="eastAsia" w:ascii="宋体" w:hAnsi="宋体"/>
        </w:rPr>
      </w:pPr>
      <w:r>
        <w:rPr>
          <w:rFonts w:ascii="宋体" w:hAnsi="宋体"/>
        </w:rPr>
        <w:t>1、</w:t>
      </w:r>
      <w:r>
        <w:rPr>
          <w:rFonts w:hint="eastAsia" w:ascii="宋体" w:hAnsi="宋体"/>
          <w:lang w:val="en-US" w:eastAsia="zh-CN"/>
        </w:rPr>
        <w:t>提供</w:t>
      </w:r>
      <w:r>
        <w:rPr>
          <w:rFonts w:ascii="宋体" w:hAnsi="宋体"/>
        </w:rPr>
        <w:t>6</w:t>
      </w:r>
      <w:r>
        <w:rPr>
          <w:rFonts w:hint="eastAsia" w:ascii="宋体" w:hAnsi="宋体"/>
        </w:rPr>
        <w:t xml:space="preserve">条20M </w:t>
      </w:r>
      <w:r>
        <w:rPr>
          <w:rFonts w:hint="eastAsia" w:ascii="宋体" w:hAnsi="宋体"/>
          <w:lang w:val="en-US" w:eastAsia="zh-CN"/>
        </w:rPr>
        <w:t>P</w:t>
      </w:r>
      <w:r>
        <w:rPr>
          <w:rFonts w:hint="eastAsia" w:ascii="宋体" w:hAnsi="宋体"/>
        </w:rPr>
        <w:t>on云专线;</w:t>
      </w:r>
    </w:p>
    <w:p w14:paraId="08238469">
      <w:pPr>
        <w:pStyle w:val="179"/>
        <w:spacing w:line="360" w:lineRule="auto"/>
        <w:ind w:left="0" w:leftChars="0" w:firstLine="0" w:firstLineChars="0"/>
        <w:rPr>
          <w:rFonts w:ascii="宋体" w:hAnsi="宋体"/>
        </w:rPr>
      </w:pPr>
      <w:r>
        <w:rPr>
          <w:rFonts w:ascii="宋体" w:hAnsi="宋体"/>
        </w:rPr>
        <w:t>2、</w:t>
      </w:r>
      <w:r>
        <w:rPr>
          <w:rFonts w:hint="eastAsia" w:ascii="宋体" w:hAnsi="宋体"/>
        </w:rPr>
        <w:t>网络维护服务（</w:t>
      </w:r>
      <w:r>
        <w:rPr>
          <w:rFonts w:ascii="宋体" w:hAnsi="宋体"/>
        </w:rPr>
        <w:t>6</w:t>
      </w:r>
      <w:r>
        <w:rPr>
          <w:rFonts w:hint="eastAsia" w:ascii="宋体" w:hAnsi="宋体"/>
          <w:lang w:val="en-US" w:eastAsia="zh-CN"/>
        </w:rPr>
        <w:t>个点</w:t>
      </w:r>
      <w:r>
        <w:rPr>
          <w:rFonts w:hint="eastAsia" w:ascii="宋体" w:hAnsi="宋体"/>
        </w:rPr>
        <w:t>）。</w:t>
      </w:r>
    </w:p>
    <w:p w14:paraId="5A7E3EC4">
      <w:pPr>
        <w:keepNext/>
        <w:keepLines/>
        <w:adjustRightInd w:val="0"/>
        <w:spacing w:before="156" w:beforeLines="50" w:after="156" w:afterLines="50" w:line="360" w:lineRule="auto"/>
        <w:textAlignment w:val="baseline"/>
        <w:outlineLvl w:val="1"/>
        <w:rPr>
          <w:rFonts w:hint="eastAsia" w:ascii="宋体" w:hAnsi="宋体"/>
          <w:b/>
          <w:bCs/>
          <w:sz w:val="24"/>
        </w:rPr>
      </w:pPr>
      <w:r>
        <w:rPr>
          <w:rFonts w:hint="eastAsia" w:ascii="宋体" w:hAnsi="宋体"/>
          <w:b/>
          <w:bCs/>
          <w:sz w:val="24"/>
        </w:rPr>
        <w:t>二、业务用途</w:t>
      </w:r>
    </w:p>
    <w:p w14:paraId="30B8B94D">
      <w:pPr>
        <w:pStyle w:val="179"/>
        <w:spacing w:line="360" w:lineRule="auto"/>
        <w:ind w:left="0" w:leftChars="0" w:firstLine="0" w:firstLineChars="0"/>
        <w:jc w:val="both"/>
        <w:rPr>
          <w:rFonts w:ascii="宋体" w:hAnsi="宋体"/>
        </w:rPr>
      </w:pPr>
      <w:r>
        <w:rPr>
          <w:rFonts w:ascii="宋体" w:hAnsi="宋体"/>
        </w:rPr>
        <w:t>1、</w:t>
      </w:r>
      <w:r>
        <w:rPr>
          <w:rFonts w:hint="eastAsia" w:ascii="宋体" w:hAnsi="宋体"/>
          <w:lang w:val="en-US" w:eastAsia="zh-CN"/>
        </w:rPr>
        <w:t>2条云专线用于</w:t>
      </w:r>
      <w:r>
        <w:rPr>
          <w:rFonts w:hint="eastAsia" w:ascii="宋体" w:hAnsi="宋体"/>
        </w:rPr>
        <w:t>粤海文体社康中心</w:t>
      </w:r>
      <w:r>
        <w:rPr>
          <w:rFonts w:hint="eastAsia" w:ascii="宋体" w:hAnsi="宋体"/>
          <w:lang w:val="en-US" w:eastAsia="zh-CN"/>
        </w:rPr>
        <w:t>和区政府社康</w:t>
      </w:r>
      <w:r>
        <w:rPr>
          <w:rFonts w:ascii="宋体" w:hAnsi="宋体"/>
        </w:rPr>
        <w:t>；</w:t>
      </w:r>
    </w:p>
    <w:p w14:paraId="57752EEC">
      <w:pPr>
        <w:pStyle w:val="179"/>
        <w:spacing w:line="360" w:lineRule="auto"/>
        <w:ind w:left="0" w:leftChars="0" w:firstLine="0" w:firstLineChars="0"/>
        <w:jc w:val="both"/>
        <w:rPr>
          <w:rFonts w:hint="eastAsia" w:ascii="宋体" w:hAnsi="宋体"/>
        </w:rPr>
      </w:pPr>
      <w:r>
        <w:rPr>
          <w:rFonts w:ascii="宋体" w:hAnsi="宋体"/>
        </w:rPr>
        <w:t>2</w:t>
      </w:r>
      <w:r>
        <w:rPr>
          <w:rFonts w:hint="eastAsia" w:ascii="宋体" w:hAnsi="宋体"/>
        </w:rPr>
        <w:t>、</w:t>
      </w:r>
      <w:r>
        <w:rPr>
          <w:rFonts w:ascii="宋体" w:hAnsi="宋体"/>
        </w:rPr>
        <w:t>剩下</w:t>
      </w:r>
      <w:r>
        <w:rPr>
          <w:rFonts w:hint="eastAsia" w:ascii="宋体" w:hAnsi="宋体"/>
          <w:lang w:val="en-US" w:eastAsia="zh-CN"/>
        </w:rPr>
        <w:t>4</w:t>
      </w:r>
      <w:r>
        <w:rPr>
          <w:rFonts w:hint="eastAsia" w:ascii="宋体" w:hAnsi="宋体"/>
        </w:rPr>
        <w:t>条云专线</w:t>
      </w:r>
      <w:r>
        <w:rPr>
          <w:rFonts w:ascii="宋体" w:hAnsi="宋体"/>
        </w:rPr>
        <w:t>留给后续新增社康</w:t>
      </w:r>
      <w:r>
        <w:rPr>
          <w:rFonts w:hint="eastAsia" w:ascii="宋体" w:hAnsi="宋体"/>
        </w:rPr>
        <w:t>使用</w:t>
      </w:r>
      <w:r>
        <w:rPr>
          <w:rFonts w:hint="eastAsia" w:ascii="宋体" w:hAnsi="宋体"/>
          <w:lang w:eastAsia="zh-CN"/>
        </w:rPr>
        <w:t>（世纪山谷社康站、向南旧村社康站、南馨苑社康中心、半山港湾社康站）</w:t>
      </w:r>
      <w:r>
        <w:rPr>
          <w:rFonts w:hint="eastAsia" w:ascii="宋体" w:hAnsi="宋体"/>
        </w:rPr>
        <w:t>。</w:t>
      </w:r>
    </w:p>
    <w:p w14:paraId="00E2FBFA">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三、参数要求</w:t>
      </w:r>
    </w:p>
    <w:tbl>
      <w:tblPr>
        <w:tblStyle w:val="3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4305"/>
        <w:gridCol w:w="2835"/>
      </w:tblGrid>
      <w:tr w14:paraId="30F5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7CA1B460">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业务类别</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2B942B1A">
            <w:pPr>
              <w:snapToGrid w:val="0"/>
              <w:spacing w:line="360" w:lineRule="exact"/>
              <w:rPr>
                <w:rFonts w:hint="eastAsia" w:ascii="仿宋_GB2312" w:hAnsi="仿宋" w:eastAsia="仿宋_GB2312"/>
                <w:color w:val="000000"/>
                <w:sz w:val="24"/>
                <w:szCs w:val="24"/>
                <w:lang w:eastAsia="zh-CN"/>
              </w:rPr>
            </w:pPr>
            <w:r>
              <w:rPr>
                <w:rFonts w:hint="eastAsia" w:ascii="仿宋_GB2312" w:hAnsi="仿宋" w:eastAsia="仿宋_GB2312"/>
                <w:color w:val="000000"/>
                <w:sz w:val="24"/>
                <w:szCs w:val="24"/>
                <w:lang w:val="en-US" w:eastAsia="zh-CN"/>
              </w:rPr>
              <w:t>参数</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CF37B6C">
            <w:pPr>
              <w:snapToGrid w:val="0"/>
              <w:spacing w:line="360" w:lineRule="exact"/>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服务要求</w:t>
            </w:r>
          </w:p>
        </w:tc>
      </w:tr>
      <w:tr w14:paraId="56AD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320CFC1D">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Pon</w:t>
            </w:r>
            <w:r>
              <w:rPr>
                <w:rFonts w:hint="eastAsia" w:ascii="仿宋_GB2312" w:hAnsi="仿宋" w:eastAsia="仿宋_GB2312"/>
                <w:color w:val="000000"/>
                <w:sz w:val="24"/>
                <w:szCs w:val="24"/>
              </w:rPr>
              <w:t xml:space="preserve">云专线 </w:t>
            </w:r>
          </w:p>
          <w:p w14:paraId="281782FF">
            <w:pPr>
              <w:snapToGrid w:val="0"/>
              <w:spacing w:line="360" w:lineRule="exact"/>
              <w:rPr>
                <w:rFonts w:hint="eastAsia" w:ascii="仿宋_GB2312" w:hAnsi="仿宋" w:eastAsia="仿宋_GB2312"/>
                <w:color w:val="000000"/>
                <w:sz w:val="24"/>
                <w:szCs w:val="24"/>
              </w:rPr>
            </w:pPr>
          </w:p>
        </w:tc>
        <w:tc>
          <w:tcPr>
            <w:tcW w:w="4305" w:type="dxa"/>
            <w:tcBorders>
              <w:top w:val="single" w:color="auto" w:sz="4" w:space="0"/>
              <w:left w:val="single" w:color="auto" w:sz="4" w:space="0"/>
              <w:bottom w:val="single" w:color="auto" w:sz="4" w:space="0"/>
              <w:right w:val="single" w:color="auto" w:sz="4" w:space="0"/>
            </w:tcBorders>
            <w:noWrap w:val="0"/>
            <w:vAlign w:val="top"/>
          </w:tcPr>
          <w:p w14:paraId="136E743B">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1、电路误码率：≤10E-7；</w:t>
            </w:r>
          </w:p>
          <w:p w14:paraId="5D7F3850">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2、电路可用率：本地段99%；</w:t>
            </w:r>
          </w:p>
          <w:p w14:paraId="2862A7B3">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3、平均故障修复时间4小时；</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14:paraId="5FF14270">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1、电路开通测试与交付服务；</w:t>
            </w:r>
          </w:p>
          <w:p w14:paraId="67974508">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2、全面网管监测与网络优化服务；</w:t>
            </w:r>
          </w:p>
          <w:p w14:paraId="0EC23A7F">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3、7X24小时客服热线故障受理与咨询。</w:t>
            </w:r>
          </w:p>
        </w:tc>
      </w:tr>
      <w:tr w14:paraId="60CA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7DE1C3F3">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MPLS VPN组网</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53CAF5D1">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1、电路可用率99%。</w:t>
            </w:r>
          </w:p>
          <w:p w14:paraId="78B326A3">
            <w:pPr>
              <w:autoSpaceDE w:val="0"/>
              <w:autoSpaceDN w:val="0"/>
              <w:adjustRightIn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2、平均故障修复时间4小时。</w:t>
            </w: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09E0546B">
            <w:pPr>
              <w:snapToGrid w:val="0"/>
              <w:spacing w:line="360" w:lineRule="exact"/>
              <w:rPr>
                <w:rFonts w:hint="eastAsia" w:ascii="仿宋_GB2312" w:hAnsi="仿宋" w:eastAsia="仿宋_GB2312"/>
                <w:color w:val="000000"/>
                <w:sz w:val="24"/>
                <w:szCs w:val="24"/>
              </w:rPr>
            </w:pPr>
          </w:p>
        </w:tc>
      </w:tr>
      <w:tr w14:paraId="241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noWrap w:val="0"/>
            <w:vAlign w:val="top"/>
          </w:tcPr>
          <w:p w14:paraId="5A69DDC8">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163上网专线</w:t>
            </w:r>
          </w:p>
          <w:p w14:paraId="5321F492">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IP城域网专线上网</w:t>
            </w:r>
          </w:p>
        </w:tc>
        <w:tc>
          <w:tcPr>
            <w:tcW w:w="4305" w:type="dxa"/>
            <w:tcBorders>
              <w:top w:val="single" w:color="auto" w:sz="4" w:space="0"/>
              <w:left w:val="single" w:color="auto" w:sz="4" w:space="0"/>
              <w:bottom w:val="single" w:color="auto" w:sz="4" w:space="0"/>
              <w:right w:val="single" w:color="auto" w:sz="4" w:space="0"/>
            </w:tcBorders>
            <w:noWrap w:val="0"/>
            <w:vAlign w:val="top"/>
          </w:tcPr>
          <w:p w14:paraId="3D45AFC7">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1、电路可用率99%。</w:t>
            </w:r>
          </w:p>
          <w:p w14:paraId="78828E17">
            <w:pPr>
              <w:snapToGrid w:val="0"/>
              <w:spacing w:line="360" w:lineRule="exact"/>
              <w:rPr>
                <w:rFonts w:hint="eastAsia" w:ascii="仿宋_GB2312" w:hAnsi="仿宋" w:eastAsia="仿宋_GB2312"/>
                <w:color w:val="000000"/>
                <w:sz w:val="24"/>
                <w:szCs w:val="24"/>
              </w:rPr>
            </w:pPr>
            <w:r>
              <w:rPr>
                <w:rFonts w:hint="eastAsia" w:ascii="仿宋_GB2312" w:hAnsi="仿宋" w:eastAsia="仿宋_GB2312"/>
                <w:color w:val="000000"/>
                <w:sz w:val="24"/>
                <w:szCs w:val="24"/>
              </w:rPr>
              <w:t>2、平均故障修复时间4小时。</w:t>
            </w: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11AB985D">
            <w:pPr>
              <w:snapToGrid w:val="0"/>
              <w:spacing w:line="360" w:lineRule="exact"/>
              <w:rPr>
                <w:rFonts w:hint="eastAsia" w:ascii="仿宋_GB2312" w:hAnsi="仿宋" w:eastAsia="仿宋_GB2312"/>
                <w:color w:val="000000"/>
                <w:sz w:val="24"/>
                <w:szCs w:val="24"/>
              </w:rPr>
            </w:pPr>
          </w:p>
        </w:tc>
      </w:tr>
    </w:tbl>
    <w:p w14:paraId="6827CB43">
      <w:pPr>
        <w:ind w:firstLine="424" w:firstLineChars="177"/>
        <w:rPr>
          <w:rFonts w:hint="eastAsia" w:ascii="宋体" w:hAnsi="宋体"/>
          <w:sz w:val="24"/>
        </w:rPr>
      </w:pPr>
    </w:p>
    <w:p w14:paraId="00996AEF">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四、本服务总预算为4.</w:t>
      </w:r>
      <w:r>
        <w:rPr>
          <w:rFonts w:hint="eastAsia" w:ascii="宋体" w:hAnsi="宋体" w:cs="Times New Roman"/>
          <w:b/>
          <w:bCs/>
          <w:sz w:val="24"/>
          <w:lang w:val="en-US" w:eastAsia="zh-CN"/>
        </w:rPr>
        <w:t>8</w:t>
      </w:r>
      <w:r>
        <w:rPr>
          <w:rFonts w:hint="eastAsia" w:ascii="宋体" w:hAnsi="宋体" w:eastAsia="宋体" w:cs="Times New Roman"/>
          <w:b/>
          <w:bCs/>
          <w:sz w:val="24"/>
          <w:lang w:val="en-US" w:eastAsia="zh-CN"/>
        </w:rPr>
        <w:t>万</w:t>
      </w:r>
    </w:p>
    <w:p w14:paraId="76B62697">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五、服务期为一年</w:t>
      </w:r>
    </w:p>
    <w:p w14:paraId="43D48B8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8DA3A96"/>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BD2EBA"/>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E7316B"/>
    <w:rsid w:val="68F67A18"/>
    <w:rsid w:val="69FA35A8"/>
    <w:rsid w:val="6A995FA5"/>
    <w:rsid w:val="6AA51683"/>
    <w:rsid w:val="6D8E6A2F"/>
    <w:rsid w:val="6ED628CC"/>
    <w:rsid w:val="6EE83F45"/>
    <w:rsid w:val="6F371D0A"/>
    <w:rsid w:val="704E2D79"/>
    <w:rsid w:val="71A26D97"/>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BodyText1I2"/>
    <w:basedOn w:val="1"/>
    <w:qFormat/>
    <w:uiPriority w:val="0"/>
    <w:pPr>
      <w:widowControl/>
      <w:spacing w:after="120"/>
      <w:ind w:left="420" w:leftChars="200" w:firstLine="420" w:firstLineChars="200"/>
      <w:jc w:val="left"/>
    </w:pPr>
    <w:rPr>
      <w:rFonts w:ascii="Calibri" w:hAnsi="Calibri"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2409</Words>
  <Characters>2531</Characters>
  <Lines>19</Lines>
  <Paragraphs>5</Paragraphs>
  <TotalTime>4</TotalTime>
  <ScaleCrop>false</ScaleCrop>
  <LinksUpToDate>false</LinksUpToDate>
  <CharactersWithSpaces>2897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张佳</cp:lastModifiedBy>
  <cp:lastPrinted>2019-05-23T06:38:00Z</cp:lastPrinted>
  <dcterms:modified xsi:type="dcterms:W3CDTF">2025-09-17T05:08:47Z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9100B5795E0047BD835B2CEEF78DB50D_13</vt:lpwstr>
  </property>
  <property fmtid="{D5CDD505-2E9C-101B-9397-08002B2CF9AE}" pid="4" name="KSOTemplateDocerSaveRecord">
    <vt:lpwstr>eyJoZGlkIjoiMGQ5ZjM5YzJhMWU5ZGM1YjdlNmE4Mzg0ZGIzMjVkMDEiLCJ1c2VySWQiOiIyMzg0MDAzMzIifQ==</vt:lpwstr>
  </property>
</Properties>
</file>