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hint="eastAsia"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rPr>
        <w:t>：</w:t>
      </w:r>
      <w:r>
        <w:rPr>
          <w:rFonts w:hint="eastAsia" w:ascii="宋体" w:hAnsi="宋体"/>
          <w:b/>
          <w:bCs/>
          <w:sz w:val="32"/>
          <w:szCs w:val="32"/>
          <w:u w:val="single"/>
        </w:rPr>
        <w:t>南山区卫健系统2026年“健康杯”扑克牌比赛</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21</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bookmarkStart w:id="5" w:name="_GoBack"/>
      <w:bookmarkEnd w:id="5"/>
      <w:r>
        <w:rPr>
          <w:rFonts w:hint="eastAsia" w:ascii="宋体" w:hAnsi="宋体"/>
          <w:b/>
          <w:bCs/>
          <w:snapToGrid w:val="0"/>
          <w:color w:val="FF0000"/>
          <w:kern w:val="0"/>
          <w:sz w:val="24"/>
        </w:rPr>
        <w:t>，</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58915D7">
      <w:pPr>
        <w:adjustRightInd w:val="0"/>
        <w:snapToGrid w:val="0"/>
        <w:spacing w:line="360" w:lineRule="auto"/>
        <w:jc w:val="left"/>
        <w:rPr>
          <w:rFonts w:hint="default"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（一）需求类型：服务类</w:t>
      </w:r>
    </w:p>
    <w:p w14:paraId="329CB5DD">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（二）</w:t>
      </w:r>
      <w:r>
        <w:rPr>
          <w:rFonts w:hint="eastAsia" w:ascii="仿宋_GB2312" w:hAnsi="仿宋_GB2312" w:eastAsia="仿宋_GB2312" w:cs="仿宋_GB2312"/>
          <w:b/>
          <w:bCs/>
          <w:snapToGrid w:val="0"/>
          <w:kern w:val="0"/>
          <w:sz w:val="28"/>
          <w:szCs w:val="32"/>
          <w:highlight w:val="none"/>
        </w:rPr>
        <w:t>需求</w:t>
      </w:r>
      <w:r>
        <w:rPr>
          <w:rFonts w:hint="eastAsia" w:ascii="仿宋_GB2312" w:hAnsi="仿宋_GB2312" w:eastAsia="仿宋_GB2312" w:cs="仿宋_GB2312"/>
          <w:b/>
          <w:bCs/>
          <w:snapToGrid w:val="0"/>
          <w:kern w:val="0"/>
          <w:sz w:val="28"/>
          <w:szCs w:val="32"/>
          <w:highlight w:val="none"/>
          <w:lang w:val="en-US" w:eastAsia="zh-CN"/>
        </w:rPr>
        <w:t>内容</w:t>
      </w:r>
    </w:p>
    <w:p w14:paraId="7428C432">
      <w:pPr>
        <w:adjustRightInd w:val="0"/>
        <w:snapToGrid w:val="0"/>
        <w:spacing w:line="360" w:lineRule="auto"/>
        <w:ind w:firstLine="562" w:firstLineChars="200"/>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为倡导健康文明的娱乐方式与行为规范为根本宗旨，旨在丰富职工精神文化生活样态，促进跨单位沟通协作效能，有效增强南山区卫生健康系统职工队伍的凝聚力和向心力，同时构建专业化、规范化的棋牌类项目竞技交流与风采展示平台，特策划南山区卫生健康系统2026年“健康杯”扑克牌比赛决赛，具体需求如下：</w:t>
      </w:r>
    </w:p>
    <w:p w14:paraId="5D7A7D96">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1.需对活动场地进行场地布场：需根据采购人的活动内容无偿提供活动的所有物资包括不限于背景板、横幅、指示牌制作搭建、相关物料制作及道具提供、补给品饮食采购充足、奖项设置及采购、活动相关等硬件设施服务、应急预案准备等，如计分板、扑克牌等等。</w:t>
      </w:r>
    </w:p>
    <w:p w14:paraId="016040C2">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2.负责活动策划执行工作：前期活动策划服务480人、现场人员服务不少于10人、现场执行统筹人员安排不少于10人、活动裁判人员安排不少于8人、现场指引人员安排不少于5人、摄影摄像人员安排分别不少于2人。</w:t>
      </w:r>
    </w:p>
    <w:p w14:paraId="016ACC97">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3.供应商须提供承诺函，可根据我单位需求完善活动方案和内容安排。（三）特殊资格要求：</w:t>
      </w:r>
    </w:p>
    <w:p w14:paraId="4B789103">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1.具有独立法人资格或具有独立承担民事责任的能力的其他组织，不接受分公司或者分支机构参与投标（提供营业执照或事业单位法人证书等法人证明扫描件）。</w:t>
      </w:r>
    </w:p>
    <w:p w14:paraId="7357ED43">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2.供应商须提供三年内无投标作假或违反招投标规定的行为和严重违约、没有发生重大安全事故的承诺书原件。</w:t>
      </w:r>
    </w:p>
    <w:p w14:paraId="6341013B">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3.供应商具备区级（含区级）以上级别机关单位、事业单位同类型活动策划与执行经验，提供过往案例3份；供应商须提供中标通知书或项目合同关键页（包括但不限于：合同名称页、合同主要内容页、合同签订日期页、合同双方签字盖章页、能体现有效业绩的内容页）扫描件。</w:t>
      </w:r>
    </w:p>
    <w:p w14:paraId="10E8D064">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eastAsia="zh-CN"/>
        </w:rPr>
        <w:t>（</w:t>
      </w:r>
      <w:r>
        <w:rPr>
          <w:rFonts w:hint="eastAsia" w:ascii="仿宋_GB2312" w:hAnsi="仿宋_GB2312" w:eastAsia="仿宋_GB2312" w:cs="仿宋_GB2312"/>
          <w:b/>
          <w:bCs/>
          <w:snapToGrid w:val="0"/>
          <w:kern w:val="0"/>
          <w:sz w:val="28"/>
          <w:szCs w:val="32"/>
          <w:highlight w:val="none"/>
          <w:lang w:val="en-US" w:eastAsia="zh-CN"/>
        </w:rPr>
        <w:t>四）具体参数要求/服务要求：</w:t>
      </w:r>
    </w:p>
    <w:p w14:paraId="3E4A1E96">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1.活动策划：对活动目的进行分析，结合活动场地设计活动方案，方案具有创新性和可执行性（供应商须提供详细活动方案及报价明细）</w:t>
      </w:r>
    </w:p>
    <w:p w14:paraId="4F8BEA73">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2.整体执行：有裁判员、工作人员指导初赛顺利执行。有10名以上裁判员、工作人员保证决赛顺利执行，现场赛事执行安排有序；赛程赛制安排合理；提供足量的比赛用牌（不少于26副）。</w:t>
      </w:r>
    </w:p>
    <w:p w14:paraId="1BE13E5B">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3.摄影摄像：提供专业摄影摄像团队，保证现场资料记录完整，提供时长不少于2分钟的现场视频以及不少于500张的现场照片直播。</w:t>
      </w:r>
    </w:p>
    <w:p w14:paraId="12F16BD7">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4.活动组织：做好报名收集工作，落实工作人员分工，保证活动有序进行。</w:t>
      </w:r>
    </w:p>
    <w:p w14:paraId="4C67D3CA">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5.比赛饮食：提供每人不少于700ml饮用水，并提供茶歇及其他所需的补给品（80人份以上），比赛饮食报价合计不得少于5000元。</w:t>
      </w:r>
    </w:p>
    <w:p w14:paraId="5A04AAB7">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6.数据分析：实时且准确记录并提供比赛活动中所有参赛队伍成绩。</w:t>
      </w:r>
    </w:p>
    <w:p w14:paraId="00C002BE">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7.奖项：提供决赛冠亚季军奖杯及比赛奖品，奖品（含优胜奖）共13组以上，优胜奖7组、奖品单价为200元/份，季军3组、奖品单价为300元/份，亚军2组、奖品单价为400元份,冠军1组、奖品单价为500元/份；奖项报价合计不得少于8800元。</w:t>
      </w:r>
    </w:p>
    <w:p w14:paraId="3B1E1A02">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8.现场布置：活动全部物料根据主办方要求整体设计制作；活动前3小时布置完成。</w:t>
      </w:r>
    </w:p>
    <w:p w14:paraId="1029518D">
      <w:pPr>
        <w:adjustRightInd w:val="0"/>
        <w:snapToGrid w:val="0"/>
        <w:spacing w:line="360" w:lineRule="auto"/>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（五）商务要求：</w:t>
      </w:r>
    </w:p>
    <w:p w14:paraId="7CE3114E">
      <w:pPr>
        <w:pStyle w:val="14"/>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1.合同履行期限：自合同签订之日起60天。</w:t>
      </w:r>
    </w:p>
    <w:p w14:paraId="7D426A8A">
      <w:pPr>
        <w:pStyle w:val="14"/>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2.验收方式：根据《深圳市南山区医疗集团总部采购项目履约验收和合同续签实施办法》进行项目验收，并填写《政府采购履约验收表》进行评估，需符合《办法》的验收标准。</w:t>
      </w:r>
    </w:p>
    <w:p w14:paraId="7B2761E3">
      <w:pPr>
        <w:pStyle w:val="14"/>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3.付款方式：活动结束并经采购人验收合格后，中标人提供合同总价等额的发票，采购人在收到中标人提供发票后15日内支付合同总价款项。</w:t>
      </w:r>
    </w:p>
    <w:p w14:paraId="68144F5A">
      <w:pPr>
        <w:pStyle w:val="14"/>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4.以上活动项目总预算不超过3.5万元。（最终结算时以实际中标合同为准。）</w:t>
      </w:r>
    </w:p>
    <w:p w14:paraId="4847813C">
      <w:pPr>
        <w:pStyle w:val="14"/>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5.包装运输：活动物资提前送达并提前3小时准备好现场。</w:t>
      </w:r>
    </w:p>
    <w:p w14:paraId="559604CB">
      <w:pPr>
        <w:pStyle w:val="14"/>
        <w:rPr>
          <w:rFonts w:hint="default"/>
          <w:lang w:val="en-US" w:eastAsia="zh-CN"/>
        </w:rPr>
      </w:pPr>
      <w:r>
        <w:rPr>
          <w:rFonts w:hint="eastAsia" w:ascii="仿宋_GB2312" w:hAnsi="仿宋_GB2312" w:eastAsia="仿宋_GB2312" w:cs="仿宋_GB2312"/>
          <w:b/>
          <w:bCs/>
          <w:snapToGrid w:val="0"/>
          <w:kern w:val="0"/>
          <w:sz w:val="28"/>
          <w:szCs w:val="32"/>
          <w:highlight w:val="none"/>
          <w:lang w:val="en-US" w:eastAsia="zh-CN"/>
        </w:rPr>
        <w:t>6.售后服务：①活动后清理及还原现场。②供应商依据采购人要求完成南山区卫生健康系统2026年“健康杯”扑克牌比赛项目执行后的活动小结及其他资料，含纸质及电子文档。③对采购人提出的相关要求，应在提出的相应时间完成修改。</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A3AC466">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22435026">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220FE878">
      <w:pPr>
        <w:adjustRightInd w:val="0"/>
        <w:snapToGrid w:val="0"/>
        <w:spacing w:line="360" w:lineRule="auto"/>
        <w:jc w:val="right"/>
        <w:rPr>
          <w:rFonts w:ascii="仿宋_GB2312" w:hAnsi="仿宋_GB2312" w:eastAsia="仿宋_GB2312" w:cs="仿宋_GB2312"/>
          <w:b/>
          <w:bCs/>
          <w:snapToGrid w:val="0"/>
          <w:kern w:val="0"/>
          <w:sz w:val="28"/>
          <w:szCs w:val="32"/>
          <w:highlight w:val="cyan"/>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cyan"/>
              </w:rPr>
            </w:pPr>
            <w:r>
              <w:rPr>
                <w:rFonts w:hint="eastAsia" w:ascii="宋体" w:hAnsi="宋体"/>
                <w:bCs/>
                <w:snapToGrid w:val="0"/>
                <w:kern w:val="0"/>
                <w:sz w:val="24"/>
                <w:highlight w:val="cyan"/>
              </w:rPr>
              <w:t>1</w:t>
            </w:r>
          </w:p>
        </w:tc>
        <w:tc>
          <w:tcPr>
            <w:tcW w:w="482"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cyan"/>
                <w:lang w:val="en-US" w:eastAsia="zh-CN"/>
              </w:rPr>
            </w:pPr>
            <w:r>
              <w:rPr>
                <w:rFonts w:hint="eastAsia" w:ascii="宋体" w:hAnsi="宋体"/>
                <w:bCs/>
                <w:snapToGrid w:val="0"/>
                <w:kern w:val="0"/>
                <w:sz w:val="24"/>
                <w:highlight w:val="cyan"/>
                <w:lang w:val="en-US" w:eastAsia="zh-CN"/>
              </w:rPr>
              <w:t>XXX</w:t>
            </w:r>
          </w:p>
        </w:tc>
        <w:tc>
          <w:tcPr>
            <w:tcW w:w="783" w:type="pct"/>
            <w:gridSpan w:val="2"/>
            <w:tcBorders>
              <w:top w:val="single" w:color="auto" w:sz="4" w:space="0"/>
            </w:tcBorders>
            <w:vAlign w:val="center"/>
          </w:tcPr>
          <w:p w14:paraId="132CD51E">
            <w:pPr>
              <w:adjustRightInd w:val="0"/>
              <w:snapToGrid w:val="0"/>
              <w:spacing w:line="360" w:lineRule="auto"/>
              <w:jc w:val="center"/>
              <w:rPr>
                <w:rFonts w:hint="eastAsia" w:ascii="宋体" w:hAnsi="宋体"/>
                <w:bCs/>
                <w:snapToGrid w:val="0"/>
                <w:kern w:val="0"/>
                <w:sz w:val="24"/>
                <w:highlight w:val="cyan"/>
              </w:rPr>
            </w:pPr>
          </w:p>
        </w:tc>
        <w:tc>
          <w:tcPr>
            <w:tcW w:w="782" w:type="pct"/>
            <w:tcBorders>
              <w:top w:val="single" w:color="auto" w:sz="4" w:space="0"/>
            </w:tcBorders>
          </w:tcPr>
          <w:p w14:paraId="20294097">
            <w:pPr>
              <w:adjustRightInd w:val="0"/>
              <w:snapToGrid w:val="0"/>
              <w:spacing w:line="360" w:lineRule="auto"/>
              <w:jc w:val="center"/>
              <w:rPr>
                <w:rFonts w:hint="eastAsia" w:ascii="宋体" w:hAnsi="宋体"/>
                <w:bCs/>
                <w:snapToGrid w:val="0"/>
                <w:kern w:val="0"/>
                <w:sz w:val="24"/>
                <w:highlight w:val="cyan"/>
              </w:rPr>
            </w:pPr>
          </w:p>
        </w:tc>
        <w:tc>
          <w:tcPr>
            <w:tcW w:w="782" w:type="pct"/>
            <w:tcBorders>
              <w:top w:val="single" w:color="auto" w:sz="4" w:space="0"/>
            </w:tcBorders>
          </w:tcPr>
          <w:p w14:paraId="610820F9">
            <w:pPr>
              <w:adjustRightInd w:val="0"/>
              <w:snapToGrid w:val="0"/>
              <w:spacing w:line="360" w:lineRule="auto"/>
              <w:jc w:val="center"/>
              <w:rPr>
                <w:rFonts w:hint="eastAsia" w:ascii="宋体" w:hAnsi="宋体"/>
                <w:bCs/>
                <w:snapToGrid w:val="0"/>
                <w:kern w:val="0"/>
                <w:sz w:val="24"/>
                <w:highlight w:val="cyan"/>
              </w:rPr>
            </w:pPr>
          </w:p>
        </w:tc>
        <w:tc>
          <w:tcPr>
            <w:tcW w:w="901" w:type="pct"/>
            <w:tcBorders>
              <w:top w:val="single" w:color="auto" w:sz="4" w:space="0"/>
            </w:tcBorders>
          </w:tcPr>
          <w:p w14:paraId="57506F2A">
            <w:pPr>
              <w:adjustRightInd w:val="0"/>
              <w:snapToGrid w:val="0"/>
              <w:spacing w:line="360" w:lineRule="auto"/>
              <w:jc w:val="center"/>
              <w:rPr>
                <w:rFonts w:hint="eastAsia" w:ascii="宋体" w:hAnsi="宋体"/>
                <w:bCs/>
                <w:snapToGrid w:val="0"/>
                <w:kern w:val="0"/>
                <w:sz w:val="24"/>
                <w:highlight w:val="cyan"/>
              </w:rPr>
            </w:pPr>
          </w:p>
        </w:tc>
        <w:tc>
          <w:tcPr>
            <w:tcW w:w="785" w:type="pct"/>
            <w:tcBorders>
              <w:top w:val="single" w:color="auto" w:sz="4" w:space="0"/>
            </w:tcBorders>
          </w:tcPr>
          <w:p w14:paraId="138C849C">
            <w:pPr>
              <w:adjustRightInd w:val="0"/>
              <w:snapToGrid w:val="0"/>
              <w:spacing w:line="360" w:lineRule="auto"/>
              <w:jc w:val="center"/>
              <w:rPr>
                <w:rFonts w:hint="default" w:ascii="宋体" w:hAnsi="宋体" w:eastAsia="宋体"/>
                <w:bCs/>
                <w:snapToGrid w:val="0"/>
                <w:kern w:val="0"/>
                <w:sz w:val="24"/>
                <w:highlight w:val="cyan"/>
                <w:lang w:val="en-US" w:eastAsia="zh-CN"/>
              </w:rPr>
            </w:pPr>
            <w:r>
              <w:rPr>
                <w:rFonts w:hint="eastAsia" w:ascii="宋体" w:hAnsi="宋体"/>
                <w:bCs/>
                <w:snapToGrid w:val="0"/>
                <w:kern w:val="0"/>
                <w:sz w:val="24"/>
                <w:highlight w:val="cyan"/>
                <w:lang w:val="en-US" w:eastAsia="zh-CN"/>
              </w:rPr>
              <w:t>需求部门必填内容</w:t>
            </w: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D9FB2-5F6D-4130-BDB3-5B700397AE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AF1F35A-7F2D-4718-929B-1FC25245D662}"/>
  </w:font>
  <w:font w:name="方正仿宋_GB2312">
    <w:panose1 w:val="02000000000000000000"/>
    <w:charset w:val="86"/>
    <w:family w:val="auto"/>
    <w:pitch w:val="default"/>
    <w:sig w:usb0="A00002BF" w:usb1="184F6CFA" w:usb2="00000012" w:usb3="00000000" w:csb0="00040001" w:csb1="00000000"/>
    <w:embedRegular r:id="rId3" w:fontKey="{9D016D5C-4B58-4DDA-A631-C36BCCAEF8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791"/>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A44EF6"/>
    <w:rsid w:val="04E71358"/>
    <w:rsid w:val="0575419C"/>
    <w:rsid w:val="05C70D93"/>
    <w:rsid w:val="06CC5E8B"/>
    <w:rsid w:val="070B4DB8"/>
    <w:rsid w:val="072347D7"/>
    <w:rsid w:val="07CD6512"/>
    <w:rsid w:val="08086333"/>
    <w:rsid w:val="08BC337C"/>
    <w:rsid w:val="092C38DF"/>
    <w:rsid w:val="09EE200C"/>
    <w:rsid w:val="09EF09C1"/>
    <w:rsid w:val="0A014C73"/>
    <w:rsid w:val="0B1D2390"/>
    <w:rsid w:val="0B5646A3"/>
    <w:rsid w:val="0D1617B8"/>
    <w:rsid w:val="0D280723"/>
    <w:rsid w:val="0DE6762A"/>
    <w:rsid w:val="0E552DBD"/>
    <w:rsid w:val="0F4C0664"/>
    <w:rsid w:val="10702130"/>
    <w:rsid w:val="1152407D"/>
    <w:rsid w:val="1181541B"/>
    <w:rsid w:val="11D02E86"/>
    <w:rsid w:val="122C190A"/>
    <w:rsid w:val="127F48AC"/>
    <w:rsid w:val="1292638E"/>
    <w:rsid w:val="1452414A"/>
    <w:rsid w:val="15445525"/>
    <w:rsid w:val="154B4D60"/>
    <w:rsid w:val="160F0030"/>
    <w:rsid w:val="16443B86"/>
    <w:rsid w:val="167B7613"/>
    <w:rsid w:val="17780248"/>
    <w:rsid w:val="17B374D2"/>
    <w:rsid w:val="17F5757F"/>
    <w:rsid w:val="18534811"/>
    <w:rsid w:val="18D90AC3"/>
    <w:rsid w:val="1ACC0F02"/>
    <w:rsid w:val="1ACE017F"/>
    <w:rsid w:val="1C887A8F"/>
    <w:rsid w:val="1DB033C2"/>
    <w:rsid w:val="1E285DF8"/>
    <w:rsid w:val="1F081154"/>
    <w:rsid w:val="1F374545"/>
    <w:rsid w:val="1F947BE9"/>
    <w:rsid w:val="1F9F20EA"/>
    <w:rsid w:val="204333BD"/>
    <w:rsid w:val="207664A6"/>
    <w:rsid w:val="2095729A"/>
    <w:rsid w:val="21020A84"/>
    <w:rsid w:val="22DD3655"/>
    <w:rsid w:val="231F674B"/>
    <w:rsid w:val="23445482"/>
    <w:rsid w:val="239863D1"/>
    <w:rsid w:val="25254A0D"/>
    <w:rsid w:val="25EF3DCB"/>
    <w:rsid w:val="263B012B"/>
    <w:rsid w:val="270D1D22"/>
    <w:rsid w:val="275E5359"/>
    <w:rsid w:val="27D41703"/>
    <w:rsid w:val="280E42B1"/>
    <w:rsid w:val="29EF1806"/>
    <w:rsid w:val="2A550045"/>
    <w:rsid w:val="2B1E480B"/>
    <w:rsid w:val="2D936DA1"/>
    <w:rsid w:val="2DDB2C88"/>
    <w:rsid w:val="2FB06326"/>
    <w:rsid w:val="300901A6"/>
    <w:rsid w:val="317D4289"/>
    <w:rsid w:val="31D7251E"/>
    <w:rsid w:val="31DC208A"/>
    <w:rsid w:val="33CE5DC2"/>
    <w:rsid w:val="33EA7980"/>
    <w:rsid w:val="344B7F15"/>
    <w:rsid w:val="345C3DCA"/>
    <w:rsid w:val="3509652C"/>
    <w:rsid w:val="355251D2"/>
    <w:rsid w:val="357B63CE"/>
    <w:rsid w:val="35B5220F"/>
    <w:rsid w:val="35D8247E"/>
    <w:rsid w:val="38404012"/>
    <w:rsid w:val="38E97BDC"/>
    <w:rsid w:val="391B05DB"/>
    <w:rsid w:val="392678C4"/>
    <w:rsid w:val="3A127140"/>
    <w:rsid w:val="3AD42864"/>
    <w:rsid w:val="3CA82892"/>
    <w:rsid w:val="3E911746"/>
    <w:rsid w:val="3F563A81"/>
    <w:rsid w:val="3FE25B2D"/>
    <w:rsid w:val="40572841"/>
    <w:rsid w:val="408D131B"/>
    <w:rsid w:val="41EF0857"/>
    <w:rsid w:val="42303267"/>
    <w:rsid w:val="44000DE5"/>
    <w:rsid w:val="441427F7"/>
    <w:rsid w:val="445826E4"/>
    <w:rsid w:val="456914A4"/>
    <w:rsid w:val="45D4532C"/>
    <w:rsid w:val="45E74EF6"/>
    <w:rsid w:val="45F621B4"/>
    <w:rsid w:val="46040D75"/>
    <w:rsid w:val="46A71700"/>
    <w:rsid w:val="46EE566A"/>
    <w:rsid w:val="47AE1D32"/>
    <w:rsid w:val="47CA1B4A"/>
    <w:rsid w:val="47FD66C6"/>
    <w:rsid w:val="48667E96"/>
    <w:rsid w:val="48FC114A"/>
    <w:rsid w:val="4A2F6F19"/>
    <w:rsid w:val="4CB25A48"/>
    <w:rsid w:val="4DAC0334"/>
    <w:rsid w:val="4F42290E"/>
    <w:rsid w:val="5175428D"/>
    <w:rsid w:val="52B458D1"/>
    <w:rsid w:val="52F45CCD"/>
    <w:rsid w:val="53004672"/>
    <w:rsid w:val="53C4433B"/>
    <w:rsid w:val="545C11F4"/>
    <w:rsid w:val="54BE6593"/>
    <w:rsid w:val="57E5652D"/>
    <w:rsid w:val="58AB32D2"/>
    <w:rsid w:val="58CD4FF7"/>
    <w:rsid w:val="59B23993"/>
    <w:rsid w:val="59F45752"/>
    <w:rsid w:val="5A807519"/>
    <w:rsid w:val="5A9D30EE"/>
    <w:rsid w:val="5B745BFD"/>
    <w:rsid w:val="5C25339C"/>
    <w:rsid w:val="5C2710F9"/>
    <w:rsid w:val="5E31427A"/>
    <w:rsid w:val="5E317FAE"/>
    <w:rsid w:val="5E711D46"/>
    <w:rsid w:val="5EDB6B4A"/>
    <w:rsid w:val="60545FFD"/>
    <w:rsid w:val="60BE791B"/>
    <w:rsid w:val="615E6687"/>
    <w:rsid w:val="616421C6"/>
    <w:rsid w:val="61D104EA"/>
    <w:rsid w:val="628A21AA"/>
    <w:rsid w:val="62CF609E"/>
    <w:rsid w:val="643E547F"/>
    <w:rsid w:val="649D4417"/>
    <w:rsid w:val="64E7316B"/>
    <w:rsid w:val="65F01032"/>
    <w:rsid w:val="68EF0FB9"/>
    <w:rsid w:val="68F67A18"/>
    <w:rsid w:val="68F93B6B"/>
    <w:rsid w:val="69FA35A8"/>
    <w:rsid w:val="6A995FA5"/>
    <w:rsid w:val="6AA51683"/>
    <w:rsid w:val="6CD40BF2"/>
    <w:rsid w:val="6D2356D5"/>
    <w:rsid w:val="6D8E6A2F"/>
    <w:rsid w:val="6E3A2CD6"/>
    <w:rsid w:val="6ED628CC"/>
    <w:rsid w:val="6EE83F45"/>
    <w:rsid w:val="6F2B6AC3"/>
    <w:rsid w:val="6F371D0A"/>
    <w:rsid w:val="6F775864"/>
    <w:rsid w:val="704E2D79"/>
    <w:rsid w:val="71A010A2"/>
    <w:rsid w:val="724834E8"/>
    <w:rsid w:val="73593BFF"/>
    <w:rsid w:val="75614FED"/>
    <w:rsid w:val="76B06742"/>
    <w:rsid w:val="77A6318B"/>
    <w:rsid w:val="78CA44FB"/>
    <w:rsid w:val="7B1E48C1"/>
    <w:rsid w:val="7B75534E"/>
    <w:rsid w:val="7B790B19"/>
    <w:rsid w:val="7BFB0012"/>
    <w:rsid w:val="7D5B0573"/>
    <w:rsid w:val="7E3876A2"/>
    <w:rsid w:val="7EDF7A47"/>
    <w:rsid w:val="7F10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3595</Words>
  <Characters>3749</Characters>
  <Lines>19</Lines>
  <Paragraphs>5</Paragraphs>
  <TotalTime>53</TotalTime>
  <ScaleCrop>false</ScaleCrop>
  <LinksUpToDate>false</LinksUpToDate>
  <CharactersWithSpaces>4200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2026-04-17T03:02:53Z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AD1F4AB738C84822980CB2302EE3F02C</vt:lpwstr>
  </property>
  <property fmtid="{D5CDD505-2E9C-101B-9397-08002B2CF9AE}" pid="4" name="KSOTemplateDocerSaveRecord">
    <vt:lpwstr>eyJoZGlkIjoiYjg0ODgxMzg4ODEyOTJlMDkxNGQ4NjQ1OGFmNWMxYmMiLCJ1c2VySWQiOiI5MzM0MzE0MjkifQ==</vt:lpwstr>
  </property>
</Properties>
</file>