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91" w:hanging="2891" w:hangingChars="900"/>
        <w:jc w:val="both"/>
        <w:rPr>
          <w:rFonts w:hint="default" w:ascii="宋体" w:hAnsi="宋体" w:eastAsia="宋体"/>
          <w:b/>
          <w:bCs/>
          <w:sz w:val="32"/>
          <w:szCs w:val="32"/>
          <w:lang w:val="en-US" w:eastAsia="zh-CN"/>
        </w:rPr>
      </w:pPr>
      <w:r>
        <w:rPr>
          <w:rFonts w:hint="eastAsia" w:ascii="宋体" w:hAnsi="宋体"/>
          <w:b/>
          <w:bCs/>
          <w:sz w:val="32"/>
          <w:szCs w:val="32"/>
          <w:lang w:val="en-US" w:eastAsia="zh-CN"/>
        </w:rPr>
        <w:t xml:space="preserve">        </w:t>
      </w:r>
      <w:r>
        <w:rPr>
          <w:rFonts w:hint="eastAsia" w:ascii="宋体" w:hAnsi="宋体"/>
          <w:b/>
          <w:bCs/>
          <w:sz w:val="32"/>
          <w:szCs w:val="32"/>
        </w:rPr>
        <w:t>项目名称：</w:t>
      </w:r>
      <w:r>
        <w:rPr>
          <w:rFonts w:hint="eastAsia" w:ascii="宋体" w:hAnsi="宋体"/>
          <w:b/>
          <w:bCs/>
          <w:sz w:val="32"/>
          <w:szCs w:val="32"/>
          <w:u w:val="single"/>
        </w:rPr>
        <w:t>深圳市南山区医疗集团总部公务车辆定点维修保养服务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w:t>
      </w:r>
      <w:bookmarkStart w:id="5" w:name="_GoBack"/>
      <w:bookmarkEnd w:id="5"/>
      <w:r>
        <w:rPr>
          <w:rFonts w:hint="eastAsia" w:ascii="宋体" w:hAnsi="宋体"/>
          <w:b/>
          <w:bCs/>
          <w:snapToGrid w:val="0"/>
          <w:color w:val="FF0000"/>
          <w:kern w:val="0"/>
          <w:sz w:val="24"/>
        </w:rPr>
        <w:t>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w:t>
      </w:r>
      <w:r>
        <w:rPr>
          <w:rFonts w:hint="eastAsia" w:ascii="宋体" w:hAnsi="宋体"/>
          <w:bCs/>
          <w:snapToGrid w:val="0"/>
          <w:kern w:val="0"/>
          <w:sz w:val="24"/>
          <w:lang w:eastAsia="zh-CN"/>
        </w:rPr>
        <w:t>：</w:t>
      </w:r>
      <w:r>
        <w:rPr>
          <w:rFonts w:hint="eastAsia" w:ascii="宋体" w:hAnsi="宋体"/>
          <w:bCs/>
          <w:snapToGrid w:val="0"/>
          <w:kern w:val="0"/>
          <w:sz w:val="24"/>
        </w:rPr>
        <w:t>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2F37C90F">
      <w:pPr>
        <w:numPr>
          <w:ilvl w:val="0"/>
          <w:numId w:val="2"/>
        </w:numPr>
        <w:spacing w:line="360" w:lineRule="auto"/>
        <w:jc w:val="center"/>
        <w:rPr>
          <w:rFonts w:hint="default" w:ascii="仿宋_GB2312" w:hAnsi="宋体" w:eastAsia="仿宋_GB2312" w:cs="宋体"/>
          <w:kern w:val="2"/>
          <w:sz w:val="36"/>
          <w:szCs w:val="36"/>
          <w:lang w:val="en-US" w:eastAsia="zh-CN" w:bidi="ar-SA"/>
        </w:rPr>
      </w:pPr>
      <w:r>
        <w:rPr>
          <w:rFonts w:hint="eastAsia" w:ascii="宋体" w:hAnsi="宋体"/>
          <w:b/>
          <w:bCs/>
          <w:snapToGrid w:val="0"/>
          <w:kern w:val="0"/>
          <w:sz w:val="36"/>
          <w:szCs w:val="36"/>
        </w:rPr>
        <w:t>项目需求</w:t>
      </w:r>
    </w:p>
    <w:p w14:paraId="35C4ADD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根据深圳市政府采购中心《关于取消公务车维修及公务印刷预选采购的通知》，结合我单位工作实际，现拟选择一家供应商提供公务车定点维修及保养服务</w:t>
      </w:r>
      <w:r>
        <w:rPr>
          <w:rFonts w:hint="eastAsia" w:ascii="仿宋_GB2312" w:hAnsi="宋体" w:eastAsia="仿宋_GB2312" w:cs="宋体"/>
          <w:kern w:val="2"/>
          <w:sz w:val="28"/>
          <w:szCs w:val="28"/>
          <w:lang w:val="en-US" w:eastAsia="zh-CN" w:bidi="ar-SA"/>
        </w:rPr>
        <w:t>，具体需求如下：</w:t>
      </w:r>
    </w:p>
    <w:p w14:paraId="04E6A8E8">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一、</w:t>
      </w:r>
      <w:r>
        <w:rPr>
          <w:rFonts w:hint="default" w:ascii="仿宋_GB2312" w:hAnsi="宋体" w:eastAsia="仿宋_GB2312" w:cs="宋体"/>
          <w:kern w:val="2"/>
          <w:sz w:val="28"/>
          <w:szCs w:val="28"/>
          <w:lang w:val="en-US" w:eastAsia="zh-CN" w:bidi="ar-SA"/>
        </w:rPr>
        <w:t>服务内容及要求</w:t>
      </w:r>
    </w:p>
    <w:p w14:paraId="2527A65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深圳市南山区医疗集团总部公务车辆维修、保养，包括但不限于提供车辆一级、二级维护，大、中、小修理，深圳市行政区域范围内免费二十四小时拖车服务，代办汽车年检业务和事故保险索赔，技术咨询和技术培训，免费洗车服务及其他有关的汽车维修保养服务项目。</w:t>
      </w:r>
    </w:p>
    <w:p w14:paraId="11DE3D9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（一）场地及设施要求</w:t>
      </w:r>
    </w:p>
    <w:p w14:paraId="13F3A5C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1.场地符合国家规定的标准要求，交通便利；</w:t>
      </w:r>
    </w:p>
    <w:p w14:paraId="0BCF4B8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2.修理车间布局合理、车间设施良好、修理工位标示明确；</w:t>
      </w:r>
    </w:p>
    <w:p w14:paraId="10448F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3.洗车间车位充足；</w:t>
      </w:r>
    </w:p>
    <w:p w14:paraId="08C63D3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4.企业各功能区标志清晰，企业资质证明、员工资格证明、营业时间要明确展示；</w:t>
      </w:r>
    </w:p>
    <w:p w14:paraId="09B8326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5.保留足够的停车场地和接待区，接待区要有满足客户登记和休息的设施；</w:t>
      </w:r>
    </w:p>
    <w:p w14:paraId="15A1ED69">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.配备车辆救援的专用设备及车辆。</w:t>
      </w:r>
    </w:p>
    <w:p w14:paraId="25115A32">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（二）维修保养及其他要求</w:t>
      </w:r>
    </w:p>
    <w:p w14:paraId="589E0AC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1、维修项目和维修费用必须由送修单位签名认可。供应商应编制维修项目明细表，确保送修单位对维修内容及其细节的知情权。</w:t>
      </w:r>
    </w:p>
    <w:p w14:paraId="3078228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2、严格按照交车时限来安排维修服务，不能在规定时限内交车的，要提前与送修单位联系。</w:t>
      </w:r>
    </w:p>
    <w:p w14:paraId="1E0DC30A">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3</w:t>
      </w:r>
      <w:r>
        <w:rPr>
          <w:rFonts w:hint="default" w:ascii="仿宋_GB2312" w:hAnsi="宋体" w:eastAsia="仿宋_GB2312" w:cs="宋体"/>
          <w:kern w:val="2"/>
          <w:sz w:val="28"/>
          <w:szCs w:val="28"/>
          <w:lang w:val="en-US" w:eastAsia="zh-CN" w:bidi="ar-SA"/>
        </w:rPr>
        <w:t>、在质量保证期内，因维修质量造成车辆故障或损坏的，供应商应负责及时返修，由于维修质量问题造成车辆异常损坏或车辆机件事故的，由供应商负责。</w:t>
      </w:r>
    </w:p>
    <w:p w14:paraId="0559ECAC">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4</w:t>
      </w:r>
      <w:r>
        <w:rPr>
          <w:rFonts w:hint="default" w:ascii="仿宋_GB2312" w:hAnsi="宋体" w:eastAsia="仿宋_GB2312" w:cs="宋体"/>
          <w:kern w:val="2"/>
          <w:sz w:val="28"/>
          <w:szCs w:val="28"/>
          <w:lang w:val="en-US" w:eastAsia="zh-CN" w:bidi="ar-SA"/>
        </w:rPr>
        <w:t>、在深圳市行政区域范围内免费提供24小时拖车服务。</w:t>
      </w:r>
    </w:p>
    <w:p w14:paraId="60C359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5</w:t>
      </w:r>
      <w:r>
        <w:rPr>
          <w:rFonts w:hint="default" w:ascii="仿宋_GB2312" w:hAnsi="宋体" w:eastAsia="仿宋_GB2312" w:cs="宋体"/>
          <w:kern w:val="2"/>
          <w:sz w:val="28"/>
          <w:szCs w:val="28"/>
          <w:lang w:val="en-US" w:eastAsia="zh-CN" w:bidi="ar-SA"/>
        </w:rPr>
        <w:t>、不得将送修单位的车辆转厂维修，不得代开发票、收取开票费。</w:t>
      </w:r>
    </w:p>
    <w:p w14:paraId="0B6254CB">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6</w:t>
      </w:r>
      <w:r>
        <w:rPr>
          <w:rFonts w:hint="default" w:ascii="仿宋_GB2312" w:hAnsi="宋体" w:eastAsia="仿宋_GB2312" w:cs="宋体"/>
          <w:kern w:val="2"/>
          <w:sz w:val="28"/>
          <w:szCs w:val="28"/>
          <w:lang w:val="en-US" w:eastAsia="zh-CN" w:bidi="ar-SA"/>
        </w:rPr>
        <w:t>、建立汽车维修档案，认真记录车辆维修情况。</w:t>
      </w:r>
    </w:p>
    <w:p w14:paraId="36EB5063">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7</w:t>
      </w:r>
      <w:r>
        <w:rPr>
          <w:rFonts w:hint="default" w:ascii="仿宋_GB2312" w:hAnsi="宋体" w:eastAsia="仿宋_GB2312" w:cs="宋体"/>
          <w:kern w:val="2"/>
          <w:sz w:val="28"/>
          <w:szCs w:val="28"/>
          <w:lang w:val="en-US" w:eastAsia="zh-CN" w:bidi="ar-SA"/>
        </w:rPr>
        <w:t>、供应商应提供深圳市南山区医疗集团总部的公务用车免费洗车服务，且在工作日期间不得以任何理由拒绝服务。</w:t>
      </w:r>
    </w:p>
    <w:p w14:paraId="3765726E">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8</w:t>
      </w:r>
      <w:r>
        <w:rPr>
          <w:rFonts w:hint="default" w:ascii="仿宋_GB2312" w:hAnsi="宋体" w:eastAsia="仿宋_GB2312" w:cs="宋体"/>
          <w:kern w:val="2"/>
          <w:sz w:val="28"/>
          <w:szCs w:val="28"/>
          <w:lang w:val="en-US" w:eastAsia="zh-CN" w:bidi="ar-SA"/>
        </w:rPr>
        <w:t>、供应商提供代办汽车年检业务，且须在报价表中列明代办收取的服务费用。</w:t>
      </w:r>
    </w:p>
    <w:p w14:paraId="4E020606">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二</w:t>
      </w:r>
      <w:r>
        <w:rPr>
          <w:rFonts w:hint="default" w:ascii="仿宋_GB2312" w:hAnsi="宋体" w:eastAsia="仿宋_GB2312" w:cs="宋体"/>
          <w:kern w:val="2"/>
          <w:sz w:val="28"/>
          <w:szCs w:val="28"/>
          <w:lang w:val="en-US" w:eastAsia="zh-CN" w:bidi="ar-SA"/>
        </w:rPr>
        <w:t>、商务要求</w:t>
      </w:r>
    </w:p>
    <w:p w14:paraId="0201DC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 合同履行期限：签订合同之日起一年，根据满意度调整。</w:t>
      </w:r>
    </w:p>
    <w:p w14:paraId="73CC40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 结算方式：</w:t>
      </w:r>
    </w:p>
    <w:p w14:paraId="31C04F4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1、供应商应在交接竣工车辆时将“结算单”同时交予采购人，并出具维修出厂“合格证”。</w:t>
      </w:r>
    </w:p>
    <w:p w14:paraId="588275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应仔细检查竣工车辆，如发现问题应及时向供应商提出，并作出记录，对于因供应商维修不当导致的返修问题，经甲乙双方共同确认后由供应商按照国家质保标准进行返修。如无异议的应在“结算单”上签字确定，以作为结算凭据。</w:t>
      </w:r>
    </w:p>
    <w:p w14:paraId="3FE8A2F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 xml:space="preserve"> 3、维修费用按月结结算，次月中旬供应商按有效结算单金额开具发票，送交采购人，经采购人核对无误后，采购人应在收到供应商提供的相应金额合法有效发票后20日内及时付清款项。</w:t>
      </w:r>
    </w:p>
    <w:p w14:paraId="380E973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未按采购人要求提供相应金额合法有效的税务发票的，采购人有权拒付，并不因此承担违约责任。因受财政拨款程序控制，采购人完成各项支付手续报财政审批即视为完成了相应的付款义务，审批导致支付时间延长时，不视为采购人违约。</w:t>
      </w:r>
    </w:p>
    <w:p w14:paraId="2A4AECB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4、维修费用一年不超过25000元/辆，以实际产生费用结算，当单辆车维修费用超过25000元时，仍按25000元/辆结算。</w:t>
      </w:r>
    </w:p>
    <w:p w14:paraId="262985C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★3.维保质量保证</w:t>
      </w:r>
    </w:p>
    <w:p w14:paraId="14E1DB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供应商在维修中应确保材料质量和维修效果。维修配件：供应商为采购人提供原厂纯正部件，质量实行三包，不得以次充好、以旧换新。维修质量：指定专人全程质检。汽车维修完工出厂时，实行“合格证”制度。维修竣工出厂的车辆经使用后，如又出现与维修项目相关的质量问题，或因供应商的维修带来新的质量问题，供应商应给予无偿返工维修，如因供应商违反协议给采购人造成损失时，供应商应给予相应经济赔偿。</w:t>
      </w:r>
    </w:p>
    <w:p w14:paraId="123E6F3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2、采购人车辆经供应商维修后将享有后续保修服务，其保修内容按以下约定执行，合同未约定的，根据《机动车维修管理规定》执行。即：</w:t>
      </w:r>
    </w:p>
    <w:p w14:paraId="07E4709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1）空调冷气：30天 。</w:t>
      </w:r>
    </w:p>
    <w:p w14:paraId="1171E3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2）二级维护：30天或5000公里内。</w:t>
      </w:r>
    </w:p>
    <w:p w14:paraId="330B9CCD">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3）电器检修：20天或2000公里内。</w:t>
      </w:r>
    </w:p>
    <w:p w14:paraId="2A6BA82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4）音响：20天或用2000公里内。</w:t>
      </w:r>
    </w:p>
    <w:p w14:paraId="0F4BC6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5）局部翻新：180天或者说10000公里内。</w:t>
      </w:r>
    </w:p>
    <w:p w14:paraId="52D045F8">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6）整车翻新：10个月或者15000公里内。</w:t>
      </w:r>
    </w:p>
    <w:p w14:paraId="7D1C972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7）小修：10天或者2000公里内。</w:t>
      </w:r>
    </w:p>
    <w:p w14:paraId="61847243">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8）中修：90天或者15000公里内。</w:t>
      </w:r>
    </w:p>
    <w:p w14:paraId="42671BB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9）总成大修：180天或者说20000公里内。</w:t>
      </w:r>
    </w:p>
    <w:p w14:paraId="7AE865E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以上承诺时间或里程以先到为准，从维修竣工并经采购人验收合格之日起算。</w:t>
      </w:r>
    </w:p>
    <w:p w14:paraId="1D62D15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24小时免费拖车：接到通知后1个小时内到达现场（深圳市行政区域内）。</w:t>
      </w:r>
    </w:p>
    <w:p w14:paraId="2DCE4D6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★5. 履约考核：</w:t>
      </w:r>
    </w:p>
    <w:p w14:paraId="5397E9C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采购人每年度末对供应商的服务进行履约评价及满意度调查，综合考核得分在90分及以上的，视为考核合格，合同可续签一年，最多续签两次（即总合同履行期限不超过三年）；考核得分低于90分或考核不合格的，采购人有权终止合同，不再续签。</w:t>
      </w:r>
    </w:p>
    <w:p w14:paraId="6AF954B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若发现供应商存在转厂维修、虚报材料价格、使用假冒伪劣配件、拒绝免费洗车等行为，采购人可单方解除合同，并追究违约责任。</w:t>
      </w:r>
    </w:p>
    <w:p w14:paraId="0B436440">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★6. 违约责任：</w:t>
      </w:r>
    </w:p>
    <w:p w14:paraId="2D8B5E6F">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因维修质量问题导致车辆故障或事故的，供应商承担全部修复费用及由此造成的直接损失。</w:t>
      </w:r>
    </w:p>
    <w:p w14:paraId="7A69DB2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无正当理由延迟交车，每逾期一天按该次维修费用的5%支付违约金。</w:t>
      </w:r>
    </w:p>
    <w:p w14:paraId="15B0D87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拒绝提供免费拖车、免费洗车服务的，每次支付违约金200元。</w:t>
      </w:r>
    </w:p>
    <w:p w14:paraId="65BAFFA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★7. 报价要求：</w:t>
      </w:r>
    </w:p>
    <w:p w14:paraId="7121F54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供应商须按本需求“第四条”要求进行分项报价，报价为含税价，合同期内不得上调。</w:t>
      </w:r>
    </w:p>
    <w:p w14:paraId="429E54D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价格（按以下分三项报价，且须在响应文件中明确）</w:t>
      </w:r>
    </w:p>
    <w:p w14:paraId="11340757">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1. 维修工时单价报价（单位：元/小时）</w:t>
      </w:r>
    </w:p>
    <w:p w14:paraId="54F0CAF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报价不得超过深圳市现行公务车维修工时单价上限。</w:t>
      </w:r>
    </w:p>
    <w:p w14:paraId="142D806A">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报价为固定单价，包含维修人员劳务、设备使用、场地管理及税费等。</w:t>
      </w:r>
    </w:p>
    <w:p w14:paraId="7F3847E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供应商报价：_____ 元/小时</w:t>
      </w:r>
    </w:p>
    <w:p w14:paraId="60F68ADB">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维修材料管理费率报价（单位：%）</w:t>
      </w:r>
    </w:p>
    <w:p w14:paraId="451006FC">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材料管理费按材料实际进价的一定比例计收，包含仓储、损耗、采购管理等费用。</w:t>
      </w:r>
    </w:p>
    <w:p w14:paraId="270CB27F">
      <w:pPr>
        <w:widowControl/>
        <w:ind w:firstLine="560" w:firstLineChars="200"/>
        <w:jc w:val="left"/>
        <w:rPr>
          <w:rFonts w:hint="default" w:ascii="仿宋_GB2312" w:hAnsi="宋体" w:eastAsia="仿宋_GB2312" w:cs="宋体"/>
          <w:kern w:val="2"/>
          <w:sz w:val="28"/>
          <w:szCs w:val="28"/>
          <w:lang w:val="en-US" w:eastAsia="zh-CN" w:bidi="ar-SA"/>
        </w:rPr>
      </w:pPr>
      <w:r>
        <w:rPr>
          <w:rFonts w:hint="eastAsia" w:ascii="仿宋_GB2312" w:hAnsi="宋体" w:eastAsia="仿宋_GB2312" w:cs="宋体"/>
          <w:kern w:val="2"/>
          <w:sz w:val="28"/>
          <w:szCs w:val="28"/>
          <w:lang w:val="en-US" w:eastAsia="zh-CN" w:bidi="ar-SA"/>
        </w:rPr>
        <w:t>2</w:t>
      </w:r>
      <w:r>
        <w:rPr>
          <w:rFonts w:hint="default" w:ascii="仿宋_GB2312" w:hAnsi="宋体" w:eastAsia="仿宋_GB2312" w:cs="宋体"/>
          <w:kern w:val="2"/>
          <w:sz w:val="28"/>
          <w:szCs w:val="28"/>
          <w:lang w:val="en-US" w:eastAsia="zh-CN" w:bidi="ar-SA"/>
        </w:rPr>
        <w:t>. 车辆年审单辆报价（）</w:t>
      </w:r>
    </w:p>
    <w:p w14:paraId="2018B9F4">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该费用为供应商代办车辆年检的服务费，不含政府收取的检测费、交强险等第三方费用。</w:t>
      </w:r>
    </w:p>
    <w:p w14:paraId="0FE6CEE1">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报价为固定单价，包含代驾、排队、资料整理等全部代办服务成本。</w:t>
      </w:r>
    </w:p>
    <w:p w14:paraId="6356137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供应商报价：_____ 元/辆·次</w:t>
      </w:r>
    </w:p>
    <w:p w14:paraId="60EA7DE6">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★特别说明：</w:t>
      </w:r>
    </w:p>
    <w:p w14:paraId="35DE91D9">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上述三项报价为评审及合同执行的核心依据。除合同另有约定外，采购人不再支付任何额外费用。</w:t>
      </w:r>
    </w:p>
    <w:p w14:paraId="0490E4B5">
      <w:pPr>
        <w:widowControl/>
        <w:ind w:firstLine="560" w:firstLineChars="200"/>
        <w:jc w:val="left"/>
        <w:rPr>
          <w:rFonts w:hint="default" w:ascii="仿宋_GB2312" w:hAnsi="宋体" w:eastAsia="仿宋_GB2312" w:cs="宋体"/>
          <w:kern w:val="2"/>
          <w:sz w:val="28"/>
          <w:szCs w:val="28"/>
          <w:lang w:val="en-US" w:eastAsia="zh-CN" w:bidi="ar-SA"/>
        </w:rPr>
      </w:pPr>
      <w:r>
        <w:rPr>
          <w:rFonts w:hint="default" w:ascii="仿宋_GB2312" w:hAnsi="宋体" w:eastAsia="仿宋_GB2312" w:cs="宋体"/>
          <w:kern w:val="2"/>
          <w:sz w:val="28"/>
          <w:szCs w:val="28"/>
          <w:lang w:val="en-US" w:eastAsia="zh-CN" w:bidi="ar-SA"/>
        </w:rPr>
        <w:t>免费洗车、24小时拖车、技术咨询培训等服务不得再另行收费。</w:t>
      </w:r>
    </w:p>
    <w:p w14:paraId="7752B9F0">
      <w:pPr>
        <w:widowControl/>
        <w:ind w:firstLine="560" w:firstLineChars="200"/>
        <w:jc w:val="left"/>
        <w:rPr>
          <w:rFonts w:hint="default" w:ascii="仿宋_GB2312" w:hAnsi="宋体" w:eastAsia="仿宋_GB2312" w:cs="宋体"/>
          <w:kern w:val="2"/>
          <w:sz w:val="28"/>
          <w:szCs w:val="28"/>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2ED48666">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w:t>
      </w:r>
    </w:p>
    <w:p w14:paraId="7438AB41">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06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35"/>
        <w:gridCol w:w="2747"/>
        <w:gridCol w:w="2007"/>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8"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91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服务</w:t>
            </w:r>
            <w:r>
              <w:rPr>
                <w:rFonts w:hint="eastAsia" w:ascii="宋体" w:hAnsi="宋体"/>
                <w:b/>
                <w:bCs/>
                <w:snapToGrid w:val="0"/>
                <w:kern w:val="0"/>
                <w:sz w:val="24"/>
              </w:rPr>
              <w:t>内容</w:t>
            </w:r>
          </w:p>
        </w:tc>
        <w:tc>
          <w:tcPr>
            <w:tcW w:w="153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分项报价（元）</w:t>
            </w:r>
          </w:p>
        </w:tc>
        <w:tc>
          <w:tcPr>
            <w:tcW w:w="1117"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8"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1912" w:type="pct"/>
            <w:tcBorders>
              <w:top w:val="single" w:color="auto" w:sz="4" w:space="0"/>
            </w:tcBorders>
            <w:vAlign w:val="center"/>
          </w:tcPr>
          <w:p w14:paraId="3440D226">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维修工时单价</w:t>
            </w:r>
            <w:r>
              <w:rPr>
                <w:rFonts w:hint="default" w:ascii="Segoe UI" w:hAnsi="Segoe UI" w:eastAsia="Segoe UI" w:cs="Segoe UI"/>
                <w:i w:val="0"/>
                <w:iCs w:val="0"/>
                <w:caps w:val="0"/>
                <w:color w:val="0F1115"/>
                <w:spacing w:val="0"/>
                <w:kern w:val="2"/>
                <w:sz w:val="24"/>
                <w:szCs w:val="24"/>
                <w:shd w:val="clear" w:fill="FFFFFF"/>
                <w:lang w:val="en-US" w:eastAsia="zh-CN" w:bidi="ar-SA"/>
              </w:rPr>
              <w:t>（人民币元</w:t>
            </w:r>
            <w:r>
              <w:rPr>
                <w:rFonts w:hint="eastAsia" w:ascii="Segoe UI" w:hAnsi="Segoe UI" w:eastAsia="Segoe UI" w:cs="Segoe UI"/>
                <w:i w:val="0"/>
                <w:iCs w:val="0"/>
                <w:caps w:val="0"/>
                <w:color w:val="0F1115"/>
                <w:spacing w:val="0"/>
                <w:kern w:val="2"/>
                <w:sz w:val="24"/>
                <w:szCs w:val="24"/>
                <w:shd w:val="clear" w:fill="FFFFFF"/>
                <w:lang w:val="en-US" w:eastAsia="zh-CN" w:bidi="ar-SA"/>
              </w:rPr>
              <w:t>/工时</w:t>
            </w:r>
            <w:r>
              <w:rPr>
                <w:rFonts w:hint="default" w:ascii="Segoe UI" w:hAnsi="Segoe UI" w:eastAsia="Segoe UI" w:cs="Segoe UI"/>
                <w:i w:val="0"/>
                <w:iCs w:val="0"/>
                <w:caps w:val="0"/>
                <w:color w:val="0F1115"/>
                <w:spacing w:val="0"/>
                <w:kern w:val="2"/>
                <w:sz w:val="24"/>
                <w:szCs w:val="24"/>
                <w:shd w:val="clear" w:fill="FFFFFF"/>
                <w:lang w:val="en-US" w:eastAsia="zh-CN" w:bidi="ar-SA"/>
              </w:rPr>
              <w:t>）</w:t>
            </w:r>
          </w:p>
        </w:tc>
        <w:tc>
          <w:tcPr>
            <w:tcW w:w="1530" w:type="pct"/>
            <w:tcBorders>
              <w:top w:val="single" w:color="auto" w:sz="4" w:space="0"/>
            </w:tcBorders>
            <w:vAlign w:val="center"/>
          </w:tcPr>
          <w:p w14:paraId="57506F2A">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元/工时</w:t>
            </w:r>
          </w:p>
        </w:tc>
        <w:tc>
          <w:tcPr>
            <w:tcW w:w="1117"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p>
        </w:tc>
      </w:tr>
      <w:tr w14:paraId="5C3BF9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8" w:type="pct"/>
            <w:tcBorders>
              <w:top w:val="single" w:color="auto" w:sz="4" w:space="0"/>
            </w:tcBorders>
            <w:vAlign w:val="center"/>
          </w:tcPr>
          <w:p w14:paraId="5E22AB1F">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2</w:t>
            </w:r>
          </w:p>
        </w:tc>
        <w:tc>
          <w:tcPr>
            <w:tcW w:w="1912" w:type="pct"/>
            <w:tcBorders>
              <w:top w:val="single" w:color="auto" w:sz="4" w:space="0"/>
            </w:tcBorders>
            <w:vAlign w:val="center"/>
          </w:tcPr>
          <w:p w14:paraId="2779C7E3">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维修材料管理费率（%）</w:t>
            </w:r>
          </w:p>
        </w:tc>
        <w:tc>
          <w:tcPr>
            <w:tcW w:w="1530" w:type="pct"/>
            <w:tcBorders>
              <w:top w:val="single" w:color="auto" w:sz="4" w:space="0"/>
            </w:tcBorders>
            <w:vAlign w:val="center"/>
          </w:tcPr>
          <w:p w14:paraId="1BA20E94">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w:t>
            </w:r>
          </w:p>
        </w:tc>
        <w:tc>
          <w:tcPr>
            <w:tcW w:w="1117" w:type="pct"/>
            <w:tcBorders>
              <w:top w:val="single" w:color="auto" w:sz="4" w:space="0"/>
            </w:tcBorders>
            <w:vAlign w:val="center"/>
          </w:tcPr>
          <w:p w14:paraId="57E1415B">
            <w:pPr>
              <w:adjustRightInd w:val="0"/>
              <w:snapToGrid w:val="0"/>
              <w:spacing w:line="360" w:lineRule="auto"/>
              <w:jc w:val="center"/>
              <w:rPr>
                <w:rFonts w:hint="eastAsia" w:ascii="宋体" w:hAnsi="宋体"/>
                <w:bCs/>
                <w:snapToGrid w:val="0"/>
                <w:kern w:val="0"/>
                <w:sz w:val="24"/>
                <w:highlight w:val="none"/>
                <w:lang w:val="en-US" w:eastAsia="zh-CN"/>
              </w:rPr>
            </w:pPr>
          </w:p>
        </w:tc>
      </w:tr>
      <w:tr w14:paraId="422E6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8" w:type="pct"/>
            <w:tcBorders>
              <w:top w:val="single" w:color="auto" w:sz="4" w:space="0"/>
            </w:tcBorders>
            <w:vAlign w:val="center"/>
          </w:tcPr>
          <w:p w14:paraId="1100C2CC">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3</w:t>
            </w:r>
          </w:p>
        </w:tc>
        <w:tc>
          <w:tcPr>
            <w:tcW w:w="1912" w:type="pct"/>
            <w:tcBorders>
              <w:top w:val="single" w:color="auto" w:sz="4" w:space="0"/>
            </w:tcBorders>
            <w:vAlign w:val="center"/>
          </w:tcPr>
          <w:p w14:paraId="76696C55">
            <w:pPr>
              <w:numPr>
                <w:ilvl w:val="0"/>
                <w:numId w:val="0"/>
              </w:numPr>
              <w:jc w:val="both"/>
              <w:rPr>
                <w:rFonts w:hint="default" w:ascii="宋体" w:hAnsi="宋体"/>
                <w:bCs/>
                <w:snapToGrid w:val="0"/>
                <w:kern w:val="0"/>
                <w:sz w:val="24"/>
                <w:highlight w:val="none"/>
                <w:lang w:val="en-US" w:eastAsia="zh-CN"/>
              </w:rPr>
            </w:pPr>
            <w:r>
              <w:rPr>
                <w:rFonts w:hint="eastAsia" w:ascii="Segoe UI" w:hAnsi="Segoe UI" w:eastAsia="Segoe UI" w:cs="Segoe UI"/>
                <w:i w:val="0"/>
                <w:iCs w:val="0"/>
                <w:caps w:val="0"/>
                <w:color w:val="0F1115"/>
                <w:spacing w:val="0"/>
                <w:kern w:val="2"/>
                <w:sz w:val="24"/>
                <w:szCs w:val="24"/>
                <w:shd w:val="clear" w:fill="FFFFFF"/>
                <w:lang w:val="en-US" w:eastAsia="zh-CN" w:bidi="ar-SA"/>
              </w:rPr>
              <w:t>小型车辆年审及领环标</w:t>
            </w:r>
          </w:p>
        </w:tc>
        <w:tc>
          <w:tcPr>
            <w:tcW w:w="1530" w:type="pct"/>
            <w:tcBorders>
              <w:top w:val="single" w:color="auto" w:sz="4" w:space="0"/>
            </w:tcBorders>
            <w:vAlign w:val="center"/>
          </w:tcPr>
          <w:p w14:paraId="5C0D8CD3">
            <w:pPr>
              <w:numPr>
                <w:ilvl w:val="0"/>
                <w:numId w:val="0"/>
              </w:numPr>
              <w:ind w:left="0" w:leftChars="0" w:firstLine="480" w:firstLineChars="200"/>
              <w:jc w:val="center"/>
              <w:rPr>
                <w:rFonts w:hint="eastAsia" w:ascii="宋体" w:hAnsi="宋体"/>
                <w:bCs/>
                <w:snapToGrid w:val="0"/>
                <w:kern w:val="0"/>
                <w:sz w:val="24"/>
                <w:highlight w:val="none"/>
              </w:rPr>
            </w:pPr>
            <w:r>
              <w:rPr>
                <w:rFonts w:hint="eastAsia" w:ascii="Segoe UI" w:hAnsi="Segoe UI" w:eastAsia="Segoe UI" w:cs="Segoe UI"/>
                <w:i w:val="0"/>
                <w:iCs w:val="0"/>
                <w:caps w:val="0"/>
                <w:color w:val="0F1115"/>
                <w:spacing w:val="0"/>
                <w:kern w:val="2"/>
                <w:sz w:val="24"/>
                <w:szCs w:val="24"/>
                <w:shd w:val="clear" w:fill="FFFFFF"/>
                <w:lang w:val="en-US" w:eastAsia="zh-CN" w:bidi="ar-SA"/>
              </w:rPr>
              <w:t>元</w:t>
            </w:r>
          </w:p>
        </w:tc>
        <w:tc>
          <w:tcPr>
            <w:tcW w:w="1117" w:type="pct"/>
            <w:tcBorders>
              <w:top w:val="single" w:color="auto" w:sz="4" w:space="0"/>
            </w:tcBorders>
            <w:vAlign w:val="center"/>
          </w:tcPr>
          <w:p w14:paraId="30E2943F">
            <w:pPr>
              <w:adjustRightInd w:val="0"/>
              <w:snapToGrid w:val="0"/>
              <w:spacing w:line="360" w:lineRule="auto"/>
              <w:jc w:val="center"/>
              <w:rPr>
                <w:rFonts w:hint="eastAsia" w:ascii="宋体" w:hAnsi="宋体"/>
                <w:bCs/>
                <w:snapToGrid w:val="0"/>
                <w:kern w:val="0"/>
                <w:sz w:val="24"/>
                <w:highlight w:val="none"/>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2648" w:type="pct"/>
            <w:gridSpan w:val="2"/>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2648" w:type="pct"/>
            <w:gridSpan w:val="2"/>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9DA5D7-88ED-4407-84AF-02776E54DC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4C069C0-1EED-4EE2-90A5-908A2EAF8D57}"/>
  </w:font>
  <w:font w:name="方正仿宋_GB2312">
    <w:panose1 w:val="02000000000000000000"/>
    <w:charset w:val="86"/>
    <w:family w:val="auto"/>
    <w:pitch w:val="default"/>
    <w:sig w:usb0="A00002BF" w:usb1="184F6CFA" w:usb2="00000012" w:usb3="00000000" w:csb0="00040001" w:csb1="00000000"/>
    <w:embedRegular r:id="rId3" w:fontKey="{0DEEC843-BDCF-4F54-B9BD-238160479469}"/>
  </w:font>
  <w:font w:name="Segoe UI">
    <w:panose1 w:val="020B0502040204020203"/>
    <w:charset w:val="00"/>
    <w:family w:val="auto"/>
    <w:pitch w:val="default"/>
    <w:sig w:usb0="E4002EFF" w:usb1="C000E47F" w:usb2="00000009" w:usb3="00000000" w:csb0="200001FF" w:csb1="00000000"/>
    <w:embedRegular r:id="rId4" w:fontKey="{ADE901DB-55F9-4A91-909E-636C04C7AC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1"/>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6A20FC1"/>
    <w:rsid w:val="072347D7"/>
    <w:rsid w:val="077839C6"/>
    <w:rsid w:val="07B23486"/>
    <w:rsid w:val="08BC337C"/>
    <w:rsid w:val="092C38DF"/>
    <w:rsid w:val="09EE200C"/>
    <w:rsid w:val="0A014C73"/>
    <w:rsid w:val="0A876E4C"/>
    <w:rsid w:val="0D280723"/>
    <w:rsid w:val="0E463E2A"/>
    <w:rsid w:val="1152407D"/>
    <w:rsid w:val="1181541B"/>
    <w:rsid w:val="122C190A"/>
    <w:rsid w:val="1452414A"/>
    <w:rsid w:val="154B4D60"/>
    <w:rsid w:val="160F0030"/>
    <w:rsid w:val="16443B86"/>
    <w:rsid w:val="167B7613"/>
    <w:rsid w:val="17606A5A"/>
    <w:rsid w:val="17F5757F"/>
    <w:rsid w:val="18D90AC3"/>
    <w:rsid w:val="1ACC0F02"/>
    <w:rsid w:val="1ACE017F"/>
    <w:rsid w:val="1C887A8F"/>
    <w:rsid w:val="1DEF31DC"/>
    <w:rsid w:val="1F081154"/>
    <w:rsid w:val="20783067"/>
    <w:rsid w:val="2095729A"/>
    <w:rsid w:val="21020A84"/>
    <w:rsid w:val="231F674B"/>
    <w:rsid w:val="239863D1"/>
    <w:rsid w:val="25254A0D"/>
    <w:rsid w:val="25EF3DCB"/>
    <w:rsid w:val="275E5359"/>
    <w:rsid w:val="27D41703"/>
    <w:rsid w:val="29EF1806"/>
    <w:rsid w:val="2A550045"/>
    <w:rsid w:val="2B434271"/>
    <w:rsid w:val="2D936DA1"/>
    <w:rsid w:val="2DDB2C88"/>
    <w:rsid w:val="2FB06326"/>
    <w:rsid w:val="317D4289"/>
    <w:rsid w:val="31D7251E"/>
    <w:rsid w:val="31DC208A"/>
    <w:rsid w:val="32F56381"/>
    <w:rsid w:val="33CE5DC2"/>
    <w:rsid w:val="344B7F15"/>
    <w:rsid w:val="345C3DCA"/>
    <w:rsid w:val="351C5DCB"/>
    <w:rsid w:val="355251D2"/>
    <w:rsid w:val="35687A21"/>
    <w:rsid w:val="36107094"/>
    <w:rsid w:val="38E97BDC"/>
    <w:rsid w:val="392678C4"/>
    <w:rsid w:val="3A127140"/>
    <w:rsid w:val="3E911746"/>
    <w:rsid w:val="3F563A81"/>
    <w:rsid w:val="3FE25B2D"/>
    <w:rsid w:val="42303267"/>
    <w:rsid w:val="42E47413"/>
    <w:rsid w:val="43D06A3B"/>
    <w:rsid w:val="44000DE5"/>
    <w:rsid w:val="456914A4"/>
    <w:rsid w:val="45D4532C"/>
    <w:rsid w:val="45E74EF6"/>
    <w:rsid w:val="46EE566A"/>
    <w:rsid w:val="47AE1D32"/>
    <w:rsid w:val="47FD66C6"/>
    <w:rsid w:val="48FC114A"/>
    <w:rsid w:val="4A205684"/>
    <w:rsid w:val="4A2F6F19"/>
    <w:rsid w:val="4DAC0334"/>
    <w:rsid w:val="50B43398"/>
    <w:rsid w:val="5175428D"/>
    <w:rsid w:val="53383669"/>
    <w:rsid w:val="53C4433B"/>
    <w:rsid w:val="545C11F4"/>
    <w:rsid w:val="550210AC"/>
    <w:rsid w:val="58816D25"/>
    <w:rsid w:val="59B23993"/>
    <w:rsid w:val="59F45752"/>
    <w:rsid w:val="5A807519"/>
    <w:rsid w:val="5AEC2A25"/>
    <w:rsid w:val="5B7E6A7C"/>
    <w:rsid w:val="5C2710F9"/>
    <w:rsid w:val="5D0A3648"/>
    <w:rsid w:val="5E317FAE"/>
    <w:rsid w:val="5E711D46"/>
    <w:rsid w:val="5EDB6B4A"/>
    <w:rsid w:val="61280483"/>
    <w:rsid w:val="615E6687"/>
    <w:rsid w:val="616421C6"/>
    <w:rsid w:val="61693D2A"/>
    <w:rsid w:val="61D104EA"/>
    <w:rsid w:val="62CF609E"/>
    <w:rsid w:val="643E547F"/>
    <w:rsid w:val="64E7316B"/>
    <w:rsid w:val="65B2652E"/>
    <w:rsid w:val="66B1455E"/>
    <w:rsid w:val="67AC2763"/>
    <w:rsid w:val="68F67A18"/>
    <w:rsid w:val="68F93B6B"/>
    <w:rsid w:val="69FA35A8"/>
    <w:rsid w:val="6A995FA5"/>
    <w:rsid w:val="6AA51683"/>
    <w:rsid w:val="6D8E6A2F"/>
    <w:rsid w:val="6ED628CC"/>
    <w:rsid w:val="6EE83F45"/>
    <w:rsid w:val="6F371D0A"/>
    <w:rsid w:val="704E2D79"/>
    <w:rsid w:val="75D5203B"/>
    <w:rsid w:val="76B06742"/>
    <w:rsid w:val="78CA44FB"/>
    <w:rsid w:val="7B790B19"/>
    <w:rsid w:val="7CA83501"/>
    <w:rsid w:val="7D050953"/>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4399</Words>
  <Characters>4572</Characters>
  <Lines>19</Lines>
  <Paragraphs>5</Paragraphs>
  <TotalTime>3</TotalTime>
  <ScaleCrop>false</ScaleCrop>
  <LinksUpToDate>false</LinksUpToDate>
  <CharactersWithSpaces>5048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2026-04-22T08:06:41Z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AD1F4AB738C84822980CB2302EE3F02C</vt:lpwstr>
  </property>
  <property fmtid="{D5CDD505-2E9C-101B-9397-08002B2CF9AE}" pid="4" name="KSOTemplateDocerSaveRecord">
    <vt:lpwstr>eyJoZGlkIjoiYjg0ODgxMzg4ODEyOTJlMDkxNGQ4NjQ1OGFmNWMxYmMiLCJ1c2VySWQiOiI5MzM0MzE0MjkifQ==</vt:lpwstr>
  </property>
</Properties>
</file>