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南山区医疗集团总部利器盒采购项目（第二次）</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w:t>
      </w:r>
    </w:p>
    <w:p w14:paraId="2EEAE65C">
      <w:pPr>
        <w:widowControl/>
        <w:numPr>
          <w:ilvl w:val="0"/>
          <w:numId w:val="0"/>
        </w:numPr>
        <w:jc w:val="center"/>
        <w:rPr>
          <w:rFonts w:hint="eastAsia" w:eastAsia="宋体"/>
          <w:sz w:val="36"/>
          <w:szCs w:val="36"/>
        </w:rPr>
      </w:pPr>
      <w:r>
        <w:rPr>
          <w:rFonts w:hint="eastAsia" w:eastAsia="宋体"/>
          <w:sz w:val="36"/>
          <w:szCs w:val="36"/>
        </w:rPr>
        <w:t>项目需求</w:t>
      </w:r>
    </w:p>
    <w:p w14:paraId="0D22E98A">
      <w:pPr>
        <w:widowControl/>
        <w:numPr>
          <w:ilvl w:val="0"/>
          <w:numId w:val="0"/>
        </w:numPr>
        <w:jc w:val="center"/>
        <w:rPr>
          <w:rFonts w:hint="eastAsia" w:eastAsia="宋体"/>
          <w:sz w:val="36"/>
          <w:szCs w:val="36"/>
        </w:rPr>
      </w:pPr>
    </w:p>
    <w:p w14:paraId="558915D7">
      <w:pPr>
        <w:numPr>
          <w:ilvl w:val="0"/>
          <w:numId w:val="0"/>
        </w:numPr>
        <w:adjustRightInd w:val="0"/>
        <w:snapToGrid w:val="0"/>
        <w:spacing w:line="360" w:lineRule="auto"/>
        <w:ind w:firstLine="420" w:firstLineChars="200"/>
        <w:jc w:val="left"/>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eastAsiaTheme="minorEastAsia" w:cstheme="minorEastAsia"/>
          <w:sz w:val="21"/>
          <w:szCs w:val="21"/>
          <w:lang w:val="en-US" w:eastAsia="zh-CN" w:bidi="ar"/>
        </w:rPr>
        <w:t>为满足南山区医疗集团总部各社康机构日常医疗废弃物规范收纳、院感防控的使用需求，现需采购利器盒一批。</w:t>
      </w:r>
    </w:p>
    <w:p w14:paraId="6BEFF98E">
      <w:pPr>
        <w:widowControl/>
        <w:numPr>
          <w:ilvl w:val="0"/>
          <w:numId w:val="0"/>
        </w:numPr>
        <w:jc w:val="left"/>
        <w:rPr>
          <w:rFonts w:hint="eastAsia"/>
          <w:sz w:val="24"/>
          <w:szCs w:val="24"/>
        </w:rPr>
      </w:pPr>
      <w:r>
        <w:rPr>
          <w:rFonts w:hint="eastAsia"/>
          <w:sz w:val="24"/>
          <w:szCs w:val="24"/>
          <w:lang w:val="en-US" w:eastAsia="zh-CN"/>
        </w:rPr>
        <w:t>一、</w:t>
      </w:r>
      <w:r>
        <w:rPr>
          <w:rFonts w:hint="eastAsia"/>
          <w:sz w:val="24"/>
          <w:szCs w:val="24"/>
        </w:rPr>
        <w:t>具体参数要求/服务要求：</w:t>
      </w:r>
    </w:p>
    <w:p w14:paraId="66E71B79">
      <w:pPr>
        <w:widowControl/>
        <w:numPr>
          <w:ilvl w:val="0"/>
          <w:numId w:val="0"/>
        </w:numPr>
        <w:jc w:val="left"/>
        <w:rPr>
          <w:rFonts w:hint="eastAsia"/>
          <w:sz w:val="24"/>
          <w:szCs w:val="24"/>
          <w:lang w:val="en-US" w:eastAsia="zh-CN"/>
        </w:rPr>
      </w:pPr>
    </w:p>
    <w:p w14:paraId="15797A5C">
      <w:pPr>
        <w:adjustRightInd w:val="0"/>
        <w:snapToGrid w:val="0"/>
        <w:spacing w:line="360" w:lineRule="auto"/>
        <w:jc w:val="left"/>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w:t>
      </w:r>
      <w:r>
        <w:rPr>
          <w:rFonts w:hint="eastAsia"/>
          <w:sz w:val="24"/>
          <w:szCs w:val="24"/>
        </w:rPr>
        <w:t>具体参数要求</w:t>
      </w:r>
      <w:r>
        <w:rPr>
          <w:rFonts w:hint="eastAsia" w:ascii="宋体" w:hAnsi="宋体" w:eastAsia="宋体" w:cs="宋体"/>
          <w:b w:val="0"/>
          <w:bCs w:val="0"/>
          <w:sz w:val="24"/>
          <w:szCs w:val="24"/>
          <w:u w:val="none"/>
          <w:lang w:val="en-US" w:eastAsia="zh-CN"/>
        </w:rPr>
        <w:t>：</w:t>
      </w:r>
    </w:p>
    <w:p w14:paraId="245CBC3B">
      <w:pPr>
        <w:adjustRightInd w:val="0"/>
        <w:snapToGrid w:val="0"/>
        <w:spacing w:line="360" w:lineRule="auto"/>
        <w:jc w:val="left"/>
        <w:rPr>
          <w:rStyle w:val="180"/>
          <w:rFonts w:hint="eastAsia" w:asciiTheme="minorEastAsia" w:hAnsiTheme="minorEastAsia" w:cstheme="minorEastAsia"/>
          <w:b/>
          <w:bCs/>
          <w:sz w:val="21"/>
          <w:szCs w:val="21"/>
          <w:lang w:val="en-US" w:eastAsia="zh-CN" w:bidi="ar"/>
        </w:rPr>
      </w:pPr>
      <w:r>
        <w:rPr>
          <w:rFonts w:hint="eastAsia" w:ascii="宋体" w:hAnsi="宋体" w:eastAsia="宋体" w:cs="宋体"/>
          <w:b/>
          <w:bCs/>
          <w:sz w:val="24"/>
          <w:szCs w:val="24"/>
          <w:u w:val="none"/>
          <w:lang w:val="en-US" w:eastAsia="zh-CN"/>
        </w:rPr>
        <w:t>1、</w:t>
      </w:r>
      <w:r>
        <w:rPr>
          <w:rStyle w:val="180"/>
          <w:rFonts w:hint="eastAsia" w:asciiTheme="minorEastAsia" w:hAnsiTheme="minorEastAsia" w:eastAsiaTheme="minorEastAsia" w:cstheme="minorEastAsia"/>
          <w:b/>
          <w:bCs/>
          <w:sz w:val="21"/>
          <w:szCs w:val="21"/>
          <w:lang w:val="en-US" w:eastAsia="zh-CN" w:bidi="ar"/>
        </w:rPr>
        <w:t>5L方形利器盒</w:t>
      </w:r>
    </w:p>
    <w:p w14:paraId="283CA353">
      <w:pPr>
        <w:numPr>
          <w:ilvl w:val="0"/>
          <w:numId w:val="2"/>
        </w:numPr>
        <w:adjustRightInd w:val="0"/>
        <w:snapToGrid w:val="0"/>
        <w:spacing w:line="360" w:lineRule="auto"/>
        <w:jc w:val="left"/>
        <w:rPr>
          <w:rStyle w:val="180"/>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2176780</wp:posOffset>
            </wp:positionH>
            <wp:positionV relativeFrom="paragraph">
              <wp:posOffset>974090</wp:posOffset>
            </wp:positionV>
            <wp:extent cx="1410335" cy="483870"/>
            <wp:effectExtent l="0" t="0" r="18415" b="11430"/>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12"/>
                    <a:stretch>
                      <a:fillRect/>
                    </a:stretch>
                  </pic:blipFill>
                  <pic:spPr>
                    <a:xfrm>
                      <a:off x="0" y="0"/>
                      <a:ext cx="1410335" cy="483870"/>
                    </a:xfrm>
                    <a:prstGeom prst="rect">
                      <a:avLst/>
                    </a:prstGeom>
                    <a:noFill/>
                    <a:ln>
                      <a:noFill/>
                    </a:ln>
                  </pic:spPr>
                </pic:pic>
              </a:graphicData>
            </a:graphic>
          </wp:anchor>
        </w:drawing>
      </w:r>
      <w:r>
        <w:rPr>
          <w:rStyle w:val="180"/>
          <w:rFonts w:hint="eastAsia" w:asciiTheme="minorEastAsia" w:hAnsiTheme="minorEastAsia" w:eastAsiaTheme="minorEastAsia" w:cstheme="minorEastAsia"/>
          <w:sz w:val="21"/>
          <w:szCs w:val="21"/>
          <w:lang w:val="en-US" w:eastAsia="zh-CN" w:bidi="ar"/>
        </w:rPr>
        <w:t>利器盒整体为硬质材料制成，不含聚氯乙烯材料。封闭且防刺穿，以保证在正常情况下，利器盒内盛装物不撒漏，并且利器盒一旦被封口，在不破坏的情况下无法被再次打开。</w:t>
      </w:r>
      <w:r>
        <w:rPr>
          <w:rStyle w:val="180"/>
          <w:rFonts w:hint="eastAsia" w:asciiTheme="minorEastAsia" w:hAnsiTheme="minorEastAsia" w:cstheme="minorEastAsia"/>
          <w:sz w:val="21"/>
          <w:szCs w:val="21"/>
          <w:lang w:val="en-US" w:eastAsia="zh-CN" w:bidi="ar"/>
        </w:rPr>
        <w:t>（2）</w:t>
      </w:r>
      <w:r>
        <w:rPr>
          <w:rStyle w:val="180"/>
          <w:rFonts w:hint="eastAsia" w:asciiTheme="minorEastAsia" w:hAnsiTheme="minorEastAsia" w:eastAsiaTheme="minorEastAsia" w:cstheme="minorEastAsia"/>
          <w:sz w:val="21"/>
          <w:szCs w:val="21"/>
          <w:lang w:val="en-US" w:eastAsia="zh-CN" w:bidi="ar"/>
        </w:rPr>
        <w:t>利器盒整体颜色为淡黄，颜色应符合GB/T 3181-2008 《</w:t>
      </w:r>
      <w:r>
        <w:rPr>
          <w:rStyle w:val="180"/>
          <w:rFonts w:hint="eastAsia" w:asciiTheme="minorEastAsia" w:hAnsiTheme="minorEastAsia" w:eastAsiaTheme="minorEastAsia" w:cstheme="minorEastAsia"/>
          <w:szCs w:val="21"/>
          <w:lang w:bidi="ar"/>
        </w:rPr>
        <w:t>漆膜颜色标准</w:t>
      </w:r>
      <w:r>
        <w:rPr>
          <w:rStyle w:val="180"/>
          <w:rFonts w:hint="eastAsia" w:asciiTheme="minorEastAsia" w:hAnsiTheme="minorEastAsia" w:eastAsiaTheme="minorEastAsia" w:cstheme="minorEastAsia"/>
          <w:sz w:val="21"/>
          <w:szCs w:val="21"/>
          <w:lang w:val="en-US" w:eastAsia="zh-CN" w:bidi="ar"/>
        </w:rPr>
        <w:t>》中Y06的要求。利器盒侧面明显处应印制下图所示的警示标志，警告语为“警告！损伤性废物”。</w:t>
      </w:r>
    </w:p>
    <w:p w14:paraId="1B958191">
      <w:pPr>
        <w:numPr>
          <w:ilvl w:val="0"/>
          <w:numId w:val="0"/>
        </w:numPr>
        <w:adjustRightInd w:val="0"/>
        <w:snapToGrid w:val="0"/>
        <w:spacing w:line="360" w:lineRule="auto"/>
        <w:jc w:val="left"/>
        <w:rPr>
          <w:rStyle w:val="180"/>
          <w:rFonts w:hint="eastAsia" w:asciiTheme="minorEastAsia" w:hAnsiTheme="minorEastAsia" w:eastAsiaTheme="minorEastAsia" w:cstheme="minorEastAsia"/>
          <w:sz w:val="21"/>
          <w:szCs w:val="21"/>
          <w:lang w:val="en-US" w:eastAsia="zh-CN" w:bidi="ar"/>
        </w:rPr>
      </w:pPr>
    </w:p>
    <w:p w14:paraId="550B756E">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w:t>
      </w:r>
      <w:r>
        <w:rPr>
          <w:rStyle w:val="180"/>
          <w:rFonts w:hint="eastAsia" w:asciiTheme="minorEastAsia" w:hAnsiTheme="minorEastAsia" w:eastAsiaTheme="minorEastAsia" w:cstheme="minorEastAsia"/>
          <w:sz w:val="21"/>
          <w:szCs w:val="21"/>
          <w:lang w:val="en-US" w:eastAsia="zh-CN" w:bidi="ar"/>
        </w:rPr>
        <w:t>警示标志的颜色和规定应符合：</w:t>
      </w:r>
    </w:p>
    <w:p w14:paraId="215B9F6F">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① </w:t>
      </w:r>
      <w:r>
        <w:rPr>
          <w:rStyle w:val="180"/>
          <w:rFonts w:hint="eastAsia" w:asciiTheme="minorEastAsia" w:hAnsiTheme="minorEastAsia" w:eastAsiaTheme="minorEastAsia" w:cstheme="minorEastAsia"/>
          <w:sz w:val="21"/>
          <w:szCs w:val="21"/>
          <w:lang w:val="en-US" w:eastAsia="zh-CN" w:bidi="ar"/>
        </w:rPr>
        <w:t>带有警告语的警示标志的底色为容器的背景色，边框和警告语的颜色均为黑色，长宽比为2:1，其中宽度与警示标志的高度相同。</w:t>
      </w:r>
    </w:p>
    <w:p w14:paraId="5E2664AA">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iCs w:val="0"/>
          <w:color w:val="000000"/>
          <w:sz w:val="21"/>
          <w:szCs w:val="21"/>
          <w:u w:val="none"/>
        </w:rPr>
      </w:pPr>
      <w:r>
        <w:rPr>
          <w:rStyle w:val="180"/>
          <w:rFonts w:hint="eastAsia" w:asciiTheme="minorEastAsia" w:hAnsiTheme="minorEastAsia" w:cstheme="minorEastAsia"/>
          <w:sz w:val="21"/>
          <w:szCs w:val="21"/>
          <w:lang w:val="en-US" w:eastAsia="zh-CN" w:bidi="ar"/>
        </w:rPr>
        <w:t xml:space="preserve">② </w:t>
      </w:r>
      <w:r>
        <w:rPr>
          <w:rStyle w:val="180"/>
          <w:rFonts w:hint="eastAsia" w:asciiTheme="minorEastAsia" w:hAnsiTheme="minorEastAsia" w:eastAsiaTheme="minorEastAsia" w:cstheme="minorEastAsia"/>
          <w:sz w:val="21"/>
          <w:szCs w:val="21"/>
          <w:lang w:val="en-US" w:eastAsia="zh-CN" w:bidi="ar"/>
        </w:rPr>
        <w:t>警示标志和警告语的印刷质量要求油墨均匀；图案、文字清晰、完整；套印准确，套印误差应不大于1mm。</w:t>
      </w:r>
    </w:p>
    <w:p w14:paraId="493311AC">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③ </w:t>
      </w:r>
      <w:r>
        <w:rPr>
          <w:rStyle w:val="180"/>
          <w:rFonts w:hint="eastAsia" w:asciiTheme="minorEastAsia" w:hAnsiTheme="minorEastAsia" w:eastAsiaTheme="minorEastAsia" w:cstheme="minorEastAsia"/>
          <w:sz w:val="21"/>
          <w:szCs w:val="21"/>
          <w:lang w:val="en-US" w:eastAsia="zh-CN" w:bidi="ar"/>
        </w:rPr>
        <w:t>感染性标志高度最小2.5cm，中文文字高度最小0.5cm，英文文字高度最小0.3cm，警示标志最小6.0cm×6.0cm</w:t>
      </w:r>
    </w:p>
    <w:p w14:paraId="6BF5C3D7">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w:t>
      </w:r>
      <w:r>
        <w:rPr>
          <w:rStyle w:val="180"/>
          <w:rFonts w:hint="eastAsia" w:asciiTheme="minorEastAsia" w:hAnsiTheme="minorEastAsia" w:eastAsiaTheme="minorEastAsia" w:cstheme="minorEastAsia"/>
          <w:sz w:val="21"/>
          <w:szCs w:val="21"/>
          <w:lang w:val="en-US" w:eastAsia="zh-CN" w:bidi="ar"/>
        </w:rPr>
        <w:t>满盛装量的利器盒从1.2m高处自由跌落至水泥地面，连续3次，不会出现破裂、被刺穿情况（需提供第三方质量检测机构出具的产品测试报告）</w:t>
      </w:r>
    </w:p>
    <w:p w14:paraId="220FE438">
      <w:p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推拉盖设计，推拉部位平滑无披锋，使用完后将推拉板推进卡位锁定后无法再次打开</w:t>
      </w:r>
    </w:p>
    <w:p w14:paraId="5A09A2D4">
      <w:pPr>
        <w:rPr>
          <w:rStyle w:val="180"/>
          <w:rFonts w:hint="eastAsia" w:asciiTheme="minorEastAsia" w:hAnsiTheme="minorEastAsia" w:eastAsiaTheme="minorEastAsia" w:cstheme="minorEastAsia"/>
          <w:b/>
          <w:bCs/>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r>
        <w:rPr>
          <w:rStyle w:val="180"/>
          <w:rFonts w:hint="eastAsia" w:asciiTheme="minorEastAsia" w:hAnsiTheme="minorEastAsia" w:cstheme="minorEastAsia"/>
          <w:sz w:val="21"/>
          <w:szCs w:val="21"/>
          <w:lang w:val="en-US" w:eastAsia="zh-CN" w:bidi="ar"/>
        </w:rPr>
        <w:t>。</w:t>
      </w:r>
    </w:p>
    <w:p w14:paraId="0794F406">
      <w:pPr>
        <w:rPr>
          <w:rStyle w:val="180"/>
          <w:rFonts w:hint="eastAsia" w:asciiTheme="minorEastAsia" w:hAnsiTheme="minorEastAsia" w:eastAsiaTheme="minorEastAsia" w:cstheme="minorEastAsia"/>
          <w:b/>
          <w:bCs/>
          <w:sz w:val="21"/>
          <w:szCs w:val="21"/>
          <w:lang w:val="en-US" w:eastAsia="zh-CN" w:bidi="ar"/>
        </w:rPr>
      </w:pPr>
    </w:p>
    <w:p w14:paraId="46A259C9">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sz w:val="21"/>
          <w:szCs w:val="21"/>
          <w:lang w:val="en-US" w:eastAsia="zh-CN" w:bidi="ar"/>
        </w:rPr>
        <w:t>2、</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8L方形利器盒</w:t>
      </w:r>
    </w:p>
    <w:p w14:paraId="0091A494">
      <w:pPr>
        <w:numPr>
          <w:ilvl w:val="0"/>
          <w:numId w:val="3"/>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eastAsiaTheme="minorEastAsia" w:cstheme="minorEastAsia"/>
          <w:sz w:val="21"/>
          <w:szCs w:val="21"/>
          <w:lang w:val="en-US" w:eastAsia="zh-CN" w:bidi="ar"/>
        </w:rPr>
        <w:t>利器盒整体为硬质材料制成，不含聚氯乙烯材料。封闭且防刺穿，以保证在正常情况下，利器盒内盛装物不撒漏，并且利器盒一旦被封口，在不破坏的情况下无法被再次打开。</w:t>
      </w:r>
    </w:p>
    <w:p w14:paraId="4BFC8D34">
      <w:pPr>
        <w:numPr>
          <w:ilvl w:val="0"/>
          <w:numId w:val="3"/>
        </w:numPr>
        <w:rPr>
          <w:rStyle w:val="180"/>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2336" behindDoc="0" locked="0" layoutInCell="1" allowOverlap="1">
            <wp:simplePos x="0" y="0"/>
            <wp:positionH relativeFrom="column">
              <wp:posOffset>4034155</wp:posOffset>
            </wp:positionH>
            <wp:positionV relativeFrom="paragraph">
              <wp:posOffset>195580</wp:posOffset>
            </wp:positionV>
            <wp:extent cx="1115695" cy="400685"/>
            <wp:effectExtent l="0" t="0" r="8255" b="1841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eastAsiaTheme="minorEastAsia" w:cstheme="minorEastAsia"/>
          <w:sz w:val="21"/>
          <w:szCs w:val="21"/>
          <w:lang w:val="en-US" w:eastAsia="zh-CN" w:bidi="ar"/>
        </w:rPr>
        <w:t>利器盒整体颜色为淡黄，颜色应符合GB/T 3181 -2008中Y06 的要求。利器盒侧面明显处应印制下图所示的警示标志，警告语为“警告！损伤性废物”。</w:t>
      </w:r>
    </w:p>
    <w:p w14:paraId="6AAD28FF">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w:t>
      </w:r>
      <w:r>
        <w:rPr>
          <w:rStyle w:val="180"/>
          <w:rFonts w:hint="eastAsia" w:asciiTheme="minorEastAsia" w:hAnsiTheme="minorEastAsia" w:eastAsiaTheme="minorEastAsia" w:cstheme="minorEastAsia"/>
          <w:sz w:val="21"/>
          <w:szCs w:val="21"/>
          <w:lang w:val="en-US" w:eastAsia="zh-CN" w:bidi="ar"/>
        </w:rPr>
        <w:t>警示标志的颜色和规定应符合：</w:t>
      </w:r>
    </w:p>
    <w:p w14:paraId="425260FE">
      <w:pPr>
        <w:keepNext w:val="0"/>
        <w:keepLines w:val="0"/>
        <w:widowControl/>
        <w:suppressLineNumbers w:val="0"/>
        <w:spacing w:line="240" w:lineRule="auto"/>
        <w:jc w:val="both"/>
        <w:textAlignment w:val="cente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① </w:t>
      </w:r>
      <w:r>
        <w:rPr>
          <w:rStyle w:val="180"/>
          <w:rFonts w:hint="eastAsia" w:asciiTheme="minorEastAsia" w:hAnsiTheme="minorEastAsia" w:eastAsiaTheme="minorEastAsia" w:cstheme="minorEastAsia"/>
          <w:sz w:val="21"/>
          <w:szCs w:val="21"/>
          <w:lang w:val="en-US" w:eastAsia="zh-CN" w:bidi="ar"/>
        </w:rPr>
        <w:t>带有警告语的警示标志的底色为容器的背景色，边框和警告语的颜色均为黑色，长宽比为2:1，其中宽度与警示标志的高度相同。</w:t>
      </w:r>
    </w:p>
    <w:p w14:paraId="0FF6558A">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iCs w:val="0"/>
          <w:color w:val="000000"/>
          <w:sz w:val="21"/>
          <w:szCs w:val="21"/>
          <w:u w:val="none"/>
        </w:rPr>
      </w:pPr>
      <w:r>
        <w:rPr>
          <w:rStyle w:val="180"/>
          <w:rFonts w:hint="eastAsia" w:asciiTheme="minorEastAsia" w:hAnsiTheme="minorEastAsia" w:cstheme="minorEastAsia"/>
          <w:sz w:val="21"/>
          <w:szCs w:val="21"/>
          <w:lang w:val="en-US" w:eastAsia="zh-CN" w:bidi="ar"/>
        </w:rPr>
        <w:t xml:space="preserve">② </w:t>
      </w:r>
      <w:r>
        <w:rPr>
          <w:rStyle w:val="180"/>
          <w:rFonts w:hint="eastAsia" w:asciiTheme="minorEastAsia" w:hAnsiTheme="minorEastAsia" w:eastAsiaTheme="minorEastAsia" w:cstheme="minorEastAsia"/>
          <w:sz w:val="21"/>
          <w:szCs w:val="21"/>
          <w:lang w:val="en-US" w:eastAsia="zh-CN" w:bidi="ar"/>
        </w:rPr>
        <w:t>警示标志和警告语的印刷质量要求油墨均匀；图案、文字清晰、完整；套印准确，套印误差应不大于1mm。</w:t>
      </w:r>
    </w:p>
    <w:p w14:paraId="5167166A">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 xml:space="preserve">③ </w:t>
      </w:r>
      <w:r>
        <w:rPr>
          <w:rStyle w:val="180"/>
          <w:rFonts w:hint="eastAsia" w:asciiTheme="minorEastAsia" w:hAnsiTheme="minorEastAsia" w:eastAsiaTheme="minorEastAsia" w:cstheme="minorEastAsia"/>
          <w:sz w:val="21"/>
          <w:szCs w:val="21"/>
          <w:lang w:val="en-US" w:eastAsia="zh-CN" w:bidi="ar"/>
        </w:rPr>
        <w:t>感染性标志高度最小2.5cm，中文文字高度最小0.5cm，英文文字高度最小0.3cm，警示标志最小6.0cm×6.0cm。</w:t>
      </w:r>
    </w:p>
    <w:p w14:paraId="6B694F00">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w:t>
      </w:r>
      <w:r>
        <w:rPr>
          <w:rStyle w:val="180"/>
          <w:rFonts w:hint="eastAsia" w:asciiTheme="minorEastAsia" w:hAnsiTheme="minorEastAsia" w:eastAsiaTheme="minorEastAsia" w:cstheme="minorEastAsia"/>
          <w:sz w:val="21"/>
          <w:szCs w:val="21"/>
          <w:lang w:val="en-US" w:eastAsia="zh-CN" w:bidi="ar"/>
        </w:rPr>
        <w:t>满盛装量的利器盒从1.2m 高处自由跌落至水泥地面，连续3次，不会出现破裂、被刺穿等情况（需提供第三方质量检测机构出具的产品测试报告）。</w:t>
      </w:r>
    </w:p>
    <w:p w14:paraId="58FF01D6">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桶身桶盖加厚，≥358g，推拉盖设计，推拉部位平滑无披锋，使用完后将推拉板推进卡位锁定后无法再次打开。盖子内侧带提手并且设计凹槽给予隐藏。盒体正面刻印有“损伤性废物”标识，盒体背面刻印有警戒线，并配英文提示盛装量不得超此线。</w:t>
      </w:r>
    </w:p>
    <w:p w14:paraId="25D6B1AE">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p>
    <w:p w14:paraId="56534ED6">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p>
    <w:p w14:paraId="042EA4A2">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3</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10L方形利器盒（加厚）</w:t>
      </w:r>
    </w:p>
    <w:p w14:paraId="091A0BC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4490CFF4">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1312" behindDoc="0" locked="0" layoutInCell="1" allowOverlap="1">
            <wp:simplePos x="0" y="0"/>
            <wp:positionH relativeFrom="column">
              <wp:posOffset>4024630</wp:posOffset>
            </wp:positionH>
            <wp:positionV relativeFrom="paragraph">
              <wp:posOffset>200660</wp:posOffset>
            </wp:positionV>
            <wp:extent cx="1115695" cy="400685"/>
            <wp:effectExtent l="0" t="0" r="8255" b="1841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344AFD2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775338D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2286E468">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13CAF86C">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27BAEBD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42B5B5E0">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桶身桶盖加厚，≥453g，旋转盖，旋转部位光滑无毛刺披锋。左右旋转顶盖上的红色旋转盘，可开启或闭合利器盒，红色旋转盘关闭锁定后，无法再次打开。投放口边缘设有多个滴水口，盒体正面刻印有“损伤性废物”标识，盒体背面刻印有警戒线，并配英文提示盛装量不得超此线。</w:t>
      </w:r>
    </w:p>
    <w:p w14:paraId="7B8993F8">
      <w:pPr>
        <w:numPr>
          <w:ilvl w:val="0"/>
          <w:numId w:val="0"/>
        </w:numPr>
        <w:rPr>
          <w:rStyle w:val="180"/>
          <w:rFonts w:hint="eastAsia" w:asciiTheme="minorEastAsia" w:hAnsiTheme="minorEastAsia" w:eastAsia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w:t>
      </w:r>
      <w:r>
        <w:rPr>
          <w:rStyle w:val="180"/>
          <w:rFonts w:hint="eastAsia" w:asciiTheme="minorEastAsia" w:hAnsiTheme="minorEastAsia" w:eastAsiaTheme="minorEastAsia" w:cstheme="minorEastAsia"/>
          <w:sz w:val="21"/>
          <w:szCs w:val="21"/>
          <w:lang w:val="en-US" w:eastAsia="zh-CN" w:bidi="ar"/>
        </w:rPr>
        <w:t>产品符合HJ 421-2008 《医疗废物专用包装袋、容器和警示标志标准》</w:t>
      </w:r>
    </w:p>
    <w:p w14:paraId="28C52756">
      <w:pPr>
        <w:numPr>
          <w:ilvl w:val="0"/>
          <w:numId w:val="0"/>
        </w:numPr>
        <w:rPr>
          <w:rStyle w:val="180"/>
          <w:rFonts w:hint="eastAsia" w:asciiTheme="minorEastAsia" w:hAnsiTheme="minorEastAsia" w:eastAsiaTheme="minorEastAsia" w:cstheme="minorEastAsia"/>
          <w:sz w:val="21"/>
          <w:szCs w:val="21"/>
          <w:lang w:val="en-US" w:eastAsia="zh-CN" w:bidi="ar"/>
        </w:rPr>
      </w:pPr>
    </w:p>
    <w:p w14:paraId="010B0E82">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4</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8L圆形利器盒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6L圆形利器盒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4L圆形利器盒</w:t>
      </w: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3L圆形利器盒</w:t>
      </w:r>
    </w:p>
    <w:p w14:paraId="2F12D094">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C8EAFB7">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4015105</wp:posOffset>
            </wp:positionH>
            <wp:positionV relativeFrom="paragraph">
              <wp:posOffset>208280</wp:posOffset>
            </wp:positionV>
            <wp:extent cx="1115695" cy="400685"/>
            <wp:effectExtent l="0" t="0" r="8255" b="1841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70F0EF5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2C6A44F9">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2827D85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4022699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7D4085C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6D388C60">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翻盖设计，盖子可上下掀起，掀起后红色盖子能立起不倒。使用完毕后，把盖子下翻扣紧，无法再次打开。。</w:t>
      </w:r>
    </w:p>
    <w:p w14:paraId="4940B892">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r>
        <w:rPr>
          <w:rStyle w:val="180"/>
          <w:rFonts w:hint="eastAsia" w:asciiTheme="minorEastAsia" w:hAnsiTheme="minorEastAsia" w:cstheme="minorEastAsia"/>
          <w:b/>
          <w:bCs/>
          <w:sz w:val="21"/>
          <w:szCs w:val="21"/>
          <w:lang w:val="en-US" w:eastAsia="zh-CN" w:bidi="ar"/>
        </w:rPr>
        <w:t>（提供2024年1月1日之后第三方检测机构出具的带有CMA标识的检测报告）</w:t>
      </w:r>
      <w:r>
        <w:rPr>
          <w:rStyle w:val="180"/>
          <w:rFonts w:hint="eastAsia" w:asciiTheme="minorEastAsia" w:hAnsiTheme="minorEastAsia" w:cstheme="minorEastAsia"/>
          <w:sz w:val="21"/>
          <w:szCs w:val="21"/>
          <w:lang w:val="en-US" w:eastAsia="zh-CN" w:bidi="ar"/>
        </w:rPr>
        <w:t>。</w:t>
      </w:r>
    </w:p>
    <w:p w14:paraId="208F0DD9">
      <w:pPr>
        <w:numPr>
          <w:ilvl w:val="0"/>
          <w:numId w:val="0"/>
        </w:numPr>
        <w:rPr>
          <w:rStyle w:val="180"/>
          <w:rFonts w:hint="eastAsia" w:asciiTheme="minorEastAsia" w:hAnsiTheme="minorEastAsia" w:cstheme="minorEastAsia"/>
          <w:sz w:val="21"/>
          <w:szCs w:val="21"/>
          <w:lang w:val="en-US" w:eastAsia="zh-CN" w:bidi="ar"/>
        </w:rPr>
      </w:pPr>
    </w:p>
    <w:p w14:paraId="7A834CD6">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5、</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2L圆形利器盒</w:t>
      </w:r>
    </w:p>
    <w:p w14:paraId="76ABA78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58ACB89">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4384" behindDoc="0" locked="0" layoutInCell="1" allowOverlap="1">
            <wp:simplePos x="0" y="0"/>
            <wp:positionH relativeFrom="column">
              <wp:posOffset>3957955</wp:posOffset>
            </wp:positionH>
            <wp:positionV relativeFrom="paragraph">
              <wp:posOffset>187325</wp:posOffset>
            </wp:positionV>
            <wp:extent cx="1115695" cy="400685"/>
            <wp:effectExtent l="0" t="0" r="8255" b="1841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6F599E00">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7A8DC398">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6B53A9C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58E50AD1">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58E03114">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493A0ADD">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翻盖设计易于操作，翻盖部位平滑无披锋，卡扣紧实。</w:t>
      </w:r>
    </w:p>
    <w:p w14:paraId="7A80EF7A">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p>
    <w:p w14:paraId="1255B896">
      <w:pPr>
        <w:numPr>
          <w:ilvl w:val="0"/>
          <w:numId w:val="0"/>
        </w:numPr>
        <w:rPr>
          <w:rStyle w:val="180"/>
          <w:rFonts w:hint="eastAsia" w:asciiTheme="minorEastAsia" w:hAnsiTheme="minorEastAsia" w:cstheme="minorEastAsia"/>
          <w:sz w:val="21"/>
          <w:szCs w:val="21"/>
          <w:lang w:val="en-US" w:eastAsia="zh-CN" w:bidi="ar"/>
        </w:rPr>
      </w:pPr>
    </w:p>
    <w:p w14:paraId="34698369">
      <w:pP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pPr>
      <w:r>
        <w:rPr>
          <w:rStyle w:val="180"/>
          <w:rFonts w:hint="eastAsia" w:asciiTheme="minorEastAsia" w:hAnsiTheme="minorEastAsia" w:cstheme="minorEastAsia"/>
          <w:b/>
          <w:bCs/>
          <w:color w:val="000000" w:themeColor="text1"/>
          <w:sz w:val="21"/>
          <w:szCs w:val="21"/>
          <w:lang w:val="en-US" w:eastAsia="zh-CN" w:bidi="ar"/>
          <w14:textFill>
            <w14:solidFill>
              <w14:schemeClr w14:val="tx1"/>
            </w14:solidFill>
          </w14:textFill>
        </w:rPr>
        <w:t>6、</w:t>
      </w:r>
      <w:r>
        <w:rPr>
          <w:rStyle w:val="180"/>
          <w:rFonts w:hint="eastAsia" w:asciiTheme="minorEastAsia" w:hAnsiTheme="minorEastAsia" w:eastAsiaTheme="minorEastAsia" w:cstheme="minorEastAsia"/>
          <w:b/>
          <w:bCs/>
          <w:color w:val="000000" w:themeColor="text1"/>
          <w:sz w:val="21"/>
          <w:szCs w:val="21"/>
          <w:lang w:val="en-US" w:eastAsia="zh-CN" w:bidi="ar"/>
          <w14:textFill>
            <w14:solidFill>
              <w14:schemeClr w14:val="tx1"/>
            </w14:solidFill>
          </w14:textFill>
        </w:rPr>
        <w:t>1L圆形利器盒</w:t>
      </w:r>
    </w:p>
    <w:p w14:paraId="0749689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（1）利器盒整体为硬质材料制成，不含聚氯乙烯材料。封闭且防刺穿，以保证在正常情况下，利器盒内盛装物不撒漏，并且利器盒一旦被封口，在不破坏的情况下无法被再次打开。</w:t>
      </w:r>
    </w:p>
    <w:p w14:paraId="763DF1B1">
      <w:pPr>
        <w:numPr>
          <w:ilvl w:val="0"/>
          <w:numId w:val="0"/>
        </w:numPr>
        <w:rPr>
          <w:rStyle w:val="180"/>
          <w:rFonts w:hint="eastAsia" w:asciiTheme="minorEastAsia" w:hAnsi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bdr w:val="single" w:color="000000" w:sz="8" w:space="0"/>
          <w:lang w:val="en-US" w:eastAsia="zh-CN" w:bidi="ar"/>
        </w:rPr>
        <w:drawing>
          <wp:anchor distT="0" distB="0" distL="114300" distR="114300" simplePos="0" relativeHeight="251663360" behindDoc="0" locked="0" layoutInCell="1" allowOverlap="1">
            <wp:simplePos x="0" y="0"/>
            <wp:positionH relativeFrom="column">
              <wp:posOffset>4053205</wp:posOffset>
            </wp:positionH>
            <wp:positionV relativeFrom="paragraph">
              <wp:posOffset>219710</wp:posOffset>
            </wp:positionV>
            <wp:extent cx="1115695" cy="400685"/>
            <wp:effectExtent l="0" t="0" r="8255" b="1841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12"/>
                    <a:stretch>
                      <a:fillRect/>
                    </a:stretch>
                  </pic:blipFill>
                  <pic:spPr>
                    <a:xfrm>
                      <a:off x="0" y="0"/>
                      <a:ext cx="1115695" cy="400685"/>
                    </a:xfrm>
                    <a:prstGeom prst="rect">
                      <a:avLst/>
                    </a:prstGeom>
                    <a:noFill/>
                    <a:ln>
                      <a:noFill/>
                    </a:ln>
                  </pic:spPr>
                </pic:pic>
              </a:graphicData>
            </a:graphic>
          </wp:anchor>
        </w:drawing>
      </w:r>
      <w:r>
        <w:rPr>
          <w:rStyle w:val="180"/>
          <w:rFonts w:hint="eastAsia" w:asciiTheme="minorEastAsia" w:hAnsiTheme="minorEastAsia" w:cstheme="minorEastAsia"/>
          <w:sz w:val="21"/>
          <w:szCs w:val="21"/>
          <w:lang w:val="en-US" w:eastAsia="zh-CN" w:bidi="ar"/>
        </w:rPr>
        <w:t>（2）利器盒整体颜色为淡黄，颜色应符合GB/T 3181 -2008中Y06 的要求。利器盒侧面明显处应印制下图所示的警示标志，警告语为“警告！损伤性废物”。</w:t>
      </w:r>
    </w:p>
    <w:p w14:paraId="63ECFFEF">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（3）警示标志的颜色和规定应符合：</w:t>
      </w:r>
    </w:p>
    <w:p w14:paraId="0073C056">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① 带有警告语的警示标志的底色为容器的背景色，边框和警告语的颜色均为黑色，长宽比为2:1，其中宽度与警示标志的高度相同。</w:t>
      </w:r>
    </w:p>
    <w:p w14:paraId="40ACAC2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② 警示标志和警告语的印刷质量要求油墨均匀；图案、文字清晰、完整；套印准确，套印误差应不大于1mm。</w:t>
      </w:r>
    </w:p>
    <w:p w14:paraId="4D41D20C">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③ 感染性标志高度最小2.5cm，中文文字高度最小0.5cm，英文文字高度最小0.3cm，警示标志最小6.0cm×6.0cm。</w:t>
      </w:r>
    </w:p>
    <w:p w14:paraId="1A7F84FE">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（4）满盛装量的利器盒从1.2m 高处自由跌落至水泥地面，连续3次，不会出现破裂、被刺穿等情况（需提供第三方质量检测机构出具的产品测试报告）。</w:t>
      </w:r>
    </w:p>
    <w:p w14:paraId="59D86FA5">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（5）</w:t>
      </w:r>
      <w:r>
        <w:rPr>
          <w:rStyle w:val="180"/>
          <w:rFonts w:hint="eastAsia" w:asciiTheme="minorEastAsia" w:hAnsiTheme="minorEastAsia" w:eastAsiaTheme="minorEastAsia" w:cstheme="minorEastAsia"/>
          <w:sz w:val="21"/>
          <w:szCs w:val="21"/>
          <w:lang w:val="en-US" w:eastAsia="zh-CN" w:bidi="ar"/>
        </w:rPr>
        <w:t>盖子为凸起的旋转盖,密封性好，左右旋转顶盖上的红色旋转盘，可开启或闭合利器盒。红色旋转盘关闭锁定后，无法再次打开。</w:t>
      </w:r>
    </w:p>
    <w:p w14:paraId="0A11FD75">
      <w:pPr>
        <w:numPr>
          <w:ilvl w:val="0"/>
          <w:numId w:val="0"/>
        </w:numPr>
        <w:rPr>
          <w:rStyle w:val="180"/>
          <w:rFonts w:hint="eastAsia" w:asciiTheme="minorEastAsia" w:hAnsiTheme="minorEastAsia" w:cstheme="minorEastAsia"/>
          <w:sz w:val="21"/>
          <w:szCs w:val="21"/>
          <w:lang w:val="en-US" w:eastAsia="zh-CN" w:bidi="ar"/>
        </w:rPr>
      </w:pPr>
      <w:r>
        <w:rPr>
          <w:rStyle w:val="180"/>
          <w:rFonts w:hint="eastAsia" w:asciiTheme="minorEastAsia" w:hAnsiTheme="minorEastAsia" w:cstheme="minorEastAsia"/>
          <w:sz w:val="21"/>
          <w:szCs w:val="21"/>
          <w:lang w:val="en-US" w:eastAsia="zh-CN" w:bidi="ar"/>
        </w:rPr>
        <w:t>（6）产品符合HJ 421-2008 《医疗废物专用包装袋、容器和警示标志标准》。</w:t>
      </w:r>
    </w:p>
    <w:p w14:paraId="54C891C8">
      <w:pPr>
        <w:numPr>
          <w:ilvl w:val="0"/>
          <w:numId w:val="0"/>
        </w:numPr>
        <w:rPr>
          <w:rStyle w:val="180"/>
          <w:rFonts w:hint="eastAsia" w:asciiTheme="minorEastAsia" w:hAnsiTheme="minorEastAsia" w:cstheme="minorEastAsia"/>
          <w:sz w:val="21"/>
          <w:szCs w:val="21"/>
          <w:lang w:val="en-US" w:eastAsia="zh-CN" w:bidi="ar"/>
        </w:rPr>
      </w:pPr>
    </w:p>
    <w:p w14:paraId="5084D15C">
      <w:pPr>
        <w:pStyle w:val="16"/>
        <w:numPr>
          <w:ilvl w:val="0"/>
          <w:numId w:val="4"/>
        </w:numPr>
        <w:ind w:left="0" w:leftChars="0" w:firstLine="0" w:firstLineChars="0"/>
        <w:rPr>
          <w:rFonts w:hint="eastAsia"/>
          <w:sz w:val="24"/>
          <w:szCs w:val="24"/>
        </w:rPr>
      </w:pPr>
      <w:r>
        <w:rPr>
          <w:rFonts w:hint="eastAsia"/>
          <w:lang w:val="en-US" w:eastAsia="zh-CN"/>
        </w:rPr>
        <w:t>规格要求及最高限价</w:t>
      </w:r>
    </w:p>
    <w:p w14:paraId="70869E7E">
      <w:pPr>
        <w:rPr>
          <w:rFonts w:hint="eastAsia"/>
        </w:rPr>
      </w:pPr>
    </w:p>
    <w:tbl>
      <w:tblPr>
        <w:tblStyle w:val="37"/>
        <w:tblW w:w="83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2050"/>
        <w:gridCol w:w="3916"/>
        <w:gridCol w:w="750"/>
        <w:gridCol w:w="907"/>
      </w:tblGrid>
      <w:tr w14:paraId="3B10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0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color w:val="auto"/>
                <w:sz w:val="21"/>
                <w:szCs w:val="21"/>
                <w:highlight w:val="none"/>
                <w:lang w:val="en-US" w:eastAsia="zh-CN"/>
              </w:rPr>
              <w:t>最高限价</w:t>
            </w:r>
            <w:r>
              <w:rPr>
                <w:rFonts w:hint="eastAsia" w:ascii="宋体" w:hAnsi="宋体" w:eastAsia="宋体" w:cs="宋体"/>
                <w:b/>
                <w:bCs/>
                <w:i w:val="0"/>
                <w:iCs w:val="0"/>
                <w:color w:val="000000"/>
                <w:kern w:val="0"/>
                <w:sz w:val="22"/>
                <w:szCs w:val="22"/>
                <w:u w:val="none"/>
                <w:lang w:val="en-US" w:eastAsia="zh-CN" w:bidi="ar"/>
              </w:rPr>
              <w:t>（元）</w:t>
            </w:r>
          </w:p>
        </w:tc>
      </w:tr>
      <w:tr w14:paraId="594C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5L方形利器盒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5L方形，推盖，245×200×150mm（均接受偏离±5mm）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5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1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431A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3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8L方形利器盒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C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8L方形，卧式推盖，带提手，300×210×160mm（均接受偏离±5mm）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96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08EF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1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10L方形利器盒（加厚）</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10L方形，竖式推盖，245×195×275mm（均接受偏离±5mm）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E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9C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3B78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E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8L圆形，旋转盖，Φ215×230mm（均接受偏离±5mm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4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22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0C94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4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6L圆形，翻盖，φ210×210mm（均接受偏离±5mm）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4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4D98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0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3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8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4L圆形，翻盖，φ175×185mm（均接受偏离±5mm）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FA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01FF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B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3L圆形，翻盖，Φ165×175mm（均接受偏离±5mm）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5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5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34F9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D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2L圆形，翻盖，φ135×145mm（均接受偏离±5mm）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3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1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3440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7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0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1L圆形利器盒</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1L圆形，凸形旋转盖，φ115×125mm（均接受偏离±5mm）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9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6A7DB81D">
      <w:pPr>
        <w:widowControl/>
        <w:numPr>
          <w:ilvl w:val="0"/>
          <w:numId w:val="0"/>
        </w:numPr>
        <w:jc w:val="left"/>
        <w:rPr>
          <w:rFonts w:hint="eastAsia" w:eastAsia="宋体"/>
          <w:sz w:val="24"/>
          <w:szCs w:val="24"/>
          <w:lang w:val="en-US" w:eastAsia="zh-CN"/>
        </w:rPr>
      </w:pPr>
    </w:p>
    <w:p w14:paraId="1029518D">
      <w:pPr>
        <w:widowControl/>
        <w:numPr>
          <w:ilvl w:val="0"/>
          <w:numId w:val="5"/>
        </w:numPr>
        <w:jc w:val="left"/>
        <w:rPr>
          <w:rFonts w:hint="eastAsia" w:eastAsia="宋体"/>
          <w:sz w:val="24"/>
          <w:szCs w:val="24"/>
          <w:lang w:val="en-US" w:eastAsia="zh-CN"/>
        </w:rPr>
      </w:pPr>
      <w:r>
        <w:rPr>
          <w:rFonts w:hint="eastAsia" w:eastAsia="宋体"/>
          <w:sz w:val="24"/>
          <w:szCs w:val="24"/>
          <w:lang w:val="en-US" w:eastAsia="zh-CN"/>
        </w:rPr>
        <w:t>商务要求：</w:t>
      </w:r>
    </w:p>
    <w:p w14:paraId="216E3332">
      <w:pPr>
        <w:widowControl/>
        <w:numPr>
          <w:ilvl w:val="0"/>
          <w:numId w:val="0"/>
        </w:numPr>
        <w:jc w:val="left"/>
        <w:rPr>
          <w:rFonts w:hint="eastAsia" w:eastAsia="宋体"/>
          <w:sz w:val="24"/>
          <w:szCs w:val="24"/>
          <w:lang w:val="en-US" w:eastAsia="zh-CN"/>
        </w:rPr>
      </w:pPr>
    </w:p>
    <w:tbl>
      <w:tblPr>
        <w:tblStyle w:val="37"/>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50"/>
        <w:gridCol w:w="6036"/>
      </w:tblGrid>
      <w:tr w14:paraId="0C6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D70191D">
            <w:pPr>
              <w:spacing w:line="360" w:lineRule="auto"/>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一</w:t>
            </w:r>
            <w:r>
              <w:rPr>
                <w:rFonts w:hint="eastAsia" w:ascii="宋体" w:hAnsi="宋体" w:cs="宋体"/>
                <w:bCs/>
                <w:color w:val="auto"/>
                <w:highlight w:val="none"/>
                <w:lang w:eastAsia="zh-CN"/>
              </w:rPr>
              <w:t>）</w:t>
            </w:r>
          </w:p>
        </w:tc>
        <w:tc>
          <w:tcPr>
            <w:tcW w:w="7538" w:type="dxa"/>
            <w:gridSpan w:val="2"/>
            <w:noWrap w:val="0"/>
            <w:vAlign w:val="center"/>
          </w:tcPr>
          <w:p w14:paraId="3C15C9AB">
            <w:pPr>
              <w:spacing w:line="360" w:lineRule="auto"/>
              <w:rPr>
                <w:rFonts w:hint="eastAsia" w:ascii="宋体" w:hAnsi="宋体" w:eastAsia="宋体" w:cs="宋体"/>
                <w:b/>
                <w:bCs/>
                <w:color w:val="auto"/>
                <w:szCs w:val="21"/>
                <w:highlight w:val="none"/>
              </w:rPr>
            </w:pPr>
            <w:r>
              <w:rPr>
                <w:rFonts w:hint="eastAsia" w:ascii="宋体" w:hAnsi="宋体" w:cs="宋体"/>
                <w:b/>
                <w:bCs/>
                <w:color w:val="000000"/>
                <w:kern w:val="0"/>
                <w:szCs w:val="21"/>
                <w:lang w:bidi="ar"/>
              </w:rPr>
              <w:t>售后服务要求</w:t>
            </w:r>
          </w:p>
        </w:tc>
      </w:tr>
      <w:tr w14:paraId="0E2C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94" w:type="dxa"/>
            <w:noWrap w:val="0"/>
            <w:vAlign w:val="center"/>
          </w:tcPr>
          <w:p w14:paraId="0474BF43">
            <w:pPr>
              <w:spacing w:line="360" w:lineRule="auto"/>
              <w:jc w:val="center"/>
              <w:rPr>
                <w:rFonts w:ascii="宋体" w:hAnsi="宋体" w:cs="宋体"/>
                <w:bCs/>
                <w:color w:val="auto"/>
                <w:highlight w:val="none"/>
              </w:rPr>
            </w:pPr>
            <w:r>
              <w:rPr>
                <w:rFonts w:hint="eastAsia" w:ascii="宋体" w:hAnsi="宋体" w:cs="宋体"/>
                <w:bCs/>
                <w:color w:val="auto"/>
                <w:highlight w:val="none"/>
              </w:rPr>
              <w:t>1</w:t>
            </w:r>
          </w:p>
        </w:tc>
        <w:tc>
          <w:tcPr>
            <w:tcW w:w="1457" w:type="dxa"/>
            <w:noWrap w:val="0"/>
            <w:vAlign w:val="center"/>
          </w:tcPr>
          <w:p w14:paraId="7A396818">
            <w:pPr>
              <w:spacing w:line="360" w:lineRule="auto"/>
              <w:jc w:val="center"/>
              <w:rPr>
                <w:rFonts w:ascii="宋体" w:hAnsi="宋体" w:cs="宋体"/>
                <w:bCs/>
                <w:color w:val="auto"/>
                <w:highlight w:val="none"/>
              </w:rPr>
            </w:pPr>
            <w:r>
              <w:rPr>
                <w:rFonts w:hint="eastAsia" w:ascii="宋体" w:hAnsi="宋体" w:cs="宋体"/>
                <w:bCs/>
                <w:color w:val="auto"/>
                <w:highlight w:val="none"/>
              </w:rPr>
              <w:t>质量保证期</w:t>
            </w:r>
          </w:p>
        </w:tc>
        <w:tc>
          <w:tcPr>
            <w:tcW w:w="6081" w:type="dxa"/>
            <w:noWrap w:val="0"/>
            <w:vAlign w:val="top"/>
          </w:tcPr>
          <w:p w14:paraId="4CC0EE5B">
            <w:pPr>
              <w:spacing w:line="360" w:lineRule="auto"/>
              <w:rPr>
                <w:rFonts w:ascii="宋体" w:hAnsi="宋体" w:cs="宋体"/>
                <w:b/>
                <w:color w:val="auto"/>
                <w:highlight w:val="none"/>
              </w:rPr>
            </w:pPr>
            <w:r>
              <w:rPr>
                <w:rFonts w:hint="eastAsia" w:ascii="宋体" w:hAnsi="宋体" w:eastAsia="宋体" w:cs="宋体"/>
                <w:b w:val="0"/>
                <w:bCs w:val="0"/>
                <w:color w:val="auto"/>
                <w:szCs w:val="21"/>
                <w:highlight w:val="none"/>
              </w:rPr>
              <w:t>所有供货的商品需保证货物的质量保证期</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1年</w:t>
            </w:r>
            <w:r>
              <w:rPr>
                <w:rFonts w:hint="eastAsia" w:ascii="宋体" w:hAnsi="宋体" w:cs="宋体"/>
                <w:b w:val="0"/>
                <w:bCs w:val="0"/>
                <w:color w:val="auto"/>
                <w:szCs w:val="21"/>
                <w:highlight w:val="none"/>
              </w:rPr>
              <w:t>，质量保证期自采购人使用科室验收合格并交付使用之日算起。免维修费、材料费、软件升级、人工费、交通费等一切费用。</w:t>
            </w:r>
            <w:r>
              <w:rPr>
                <w:rFonts w:hint="eastAsia" w:ascii="宋体" w:hAnsi="宋体" w:cs="宋体"/>
                <w:b w:val="0"/>
                <w:bCs w:val="0"/>
                <w:color w:val="auto"/>
                <w:szCs w:val="21"/>
                <w:highlight w:val="none"/>
                <w:lang w:val="en-US" w:eastAsia="zh-CN"/>
              </w:rPr>
              <w:t>采购人</w:t>
            </w:r>
            <w:r>
              <w:rPr>
                <w:rFonts w:hint="eastAsia" w:ascii="宋体" w:hAnsi="宋体" w:cs="宋体"/>
                <w:b w:val="0"/>
                <w:bCs w:val="0"/>
                <w:color w:val="auto"/>
                <w:szCs w:val="21"/>
                <w:highlight w:val="none"/>
              </w:rPr>
              <w:t>在质量保证期内发现任何质量问题，</w:t>
            </w:r>
            <w:r>
              <w:rPr>
                <w:rFonts w:hint="eastAsia" w:ascii="宋体" w:hAnsi="宋体" w:cs="宋体"/>
                <w:b w:val="0"/>
                <w:bCs w:val="0"/>
                <w:color w:val="auto"/>
                <w:szCs w:val="21"/>
                <w:highlight w:val="none"/>
                <w:lang w:val="en-US" w:eastAsia="zh-CN"/>
              </w:rPr>
              <w:t>中标人</w:t>
            </w:r>
            <w:r>
              <w:rPr>
                <w:rFonts w:hint="eastAsia" w:ascii="宋体" w:hAnsi="宋体" w:cs="宋体"/>
                <w:b w:val="0"/>
                <w:bCs w:val="0"/>
                <w:color w:val="auto"/>
                <w:szCs w:val="21"/>
                <w:highlight w:val="none"/>
              </w:rPr>
              <w:t>必须无条件在</w:t>
            </w:r>
            <w:r>
              <w:rPr>
                <w:rFonts w:hint="eastAsia" w:ascii="宋体" w:hAnsi="宋体" w:cs="宋体"/>
                <w:b w:val="0"/>
                <w:bCs w:val="0"/>
                <w:color w:val="auto"/>
                <w:szCs w:val="21"/>
                <w:highlight w:val="none"/>
                <w:lang w:val="en-US" w:eastAsia="zh-CN"/>
              </w:rPr>
              <w:t>采购人</w:t>
            </w:r>
            <w:r>
              <w:rPr>
                <w:rFonts w:hint="eastAsia" w:ascii="宋体" w:hAnsi="宋体" w:cs="宋体"/>
                <w:b w:val="0"/>
                <w:bCs w:val="0"/>
                <w:color w:val="auto"/>
                <w:szCs w:val="21"/>
                <w:highlight w:val="none"/>
              </w:rPr>
              <w:t>要求期限内退换货，所产生的一切费用均由</w:t>
            </w:r>
            <w:r>
              <w:rPr>
                <w:rFonts w:hint="eastAsia" w:ascii="宋体" w:hAnsi="宋体" w:cs="宋体"/>
                <w:b w:val="0"/>
                <w:bCs w:val="0"/>
                <w:color w:val="auto"/>
                <w:szCs w:val="21"/>
                <w:highlight w:val="none"/>
                <w:lang w:val="en-US" w:eastAsia="zh-CN"/>
              </w:rPr>
              <w:t>中标人</w:t>
            </w:r>
            <w:r>
              <w:rPr>
                <w:rFonts w:hint="eastAsia" w:ascii="宋体" w:hAnsi="宋体" w:cs="宋体"/>
                <w:b w:val="0"/>
                <w:bCs w:val="0"/>
                <w:color w:val="auto"/>
                <w:szCs w:val="21"/>
                <w:highlight w:val="none"/>
              </w:rPr>
              <w:t>承担。</w:t>
            </w:r>
          </w:p>
        </w:tc>
      </w:tr>
      <w:tr w14:paraId="6DB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94" w:type="dxa"/>
            <w:noWrap w:val="0"/>
            <w:vAlign w:val="center"/>
          </w:tcPr>
          <w:p w14:paraId="195DDA47">
            <w:pPr>
              <w:spacing w:line="360" w:lineRule="auto"/>
              <w:jc w:val="center"/>
              <w:rPr>
                <w:rFonts w:ascii="宋体" w:hAnsi="宋体" w:cs="宋体"/>
                <w:bCs/>
                <w:color w:val="auto"/>
                <w:highlight w:val="none"/>
              </w:rPr>
            </w:pPr>
            <w:r>
              <w:rPr>
                <w:rFonts w:hint="eastAsia" w:ascii="宋体" w:hAnsi="宋体" w:cs="宋体"/>
                <w:bCs/>
                <w:color w:val="auto"/>
                <w:highlight w:val="none"/>
              </w:rPr>
              <w:t>2</w:t>
            </w:r>
          </w:p>
        </w:tc>
        <w:tc>
          <w:tcPr>
            <w:tcW w:w="1457" w:type="dxa"/>
            <w:noWrap w:val="0"/>
            <w:vAlign w:val="center"/>
          </w:tcPr>
          <w:p w14:paraId="33330E4A">
            <w:pPr>
              <w:spacing w:line="360" w:lineRule="auto"/>
              <w:jc w:val="center"/>
              <w:rPr>
                <w:rFonts w:ascii="宋体" w:hAnsi="宋体" w:cs="宋体"/>
                <w:bCs/>
                <w:color w:val="auto"/>
                <w:highlight w:val="none"/>
              </w:rPr>
            </w:pPr>
            <w:r>
              <w:rPr>
                <w:rFonts w:hint="eastAsia" w:ascii="宋体" w:hAnsi="宋体" w:cs="宋体"/>
                <w:bCs/>
                <w:color w:val="auto"/>
                <w:highlight w:val="none"/>
                <w:lang w:val="en-US" w:eastAsia="zh-CN"/>
              </w:rPr>
              <w:t>售后</w:t>
            </w:r>
            <w:r>
              <w:rPr>
                <w:rFonts w:hint="eastAsia" w:ascii="宋体" w:hAnsi="宋体" w:cs="宋体"/>
                <w:bCs/>
                <w:color w:val="auto"/>
                <w:highlight w:val="none"/>
              </w:rPr>
              <w:t>响应</w:t>
            </w:r>
          </w:p>
        </w:tc>
        <w:tc>
          <w:tcPr>
            <w:tcW w:w="6081" w:type="dxa"/>
            <w:noWrap w:val="0"/>
            <w:vAlign w:val="top"/>
          </w:tcPr>
          <w:p w14:paraId="74C3375E">
            <w:pPr>
              <w:spacing w:line="360" w:lineRule="auto"/>
              <w:ind w:hanging="11"/>
              <w:rPr>
                <w:rFonts w:ascii="宋体" w:hAnsi="宋体" w:cs="宋体"/>
                <w:color w:val="auto"/>
                <w:highlight w:val="none"/>
              </w:rPr>
            </w:pPr>
            <w:r>
              <w:rPr>
                <w:rFonts w:hint="eastAsia" w:ascii="宋体" w:hAnsi="宋体" w:cs="宋体"/>
                <w:color w:val="auto"/>
                <w:szCs w:val="21"/>
                <w:highlight w:val="none"/>
              </w:rPr>
              <w:t>由中标人提供售后服务，</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none"/>
                <w:lang w:val="en-US" w:eastAsia="zh-CN"/>
              </w:rPr>
              <w:t>小时</w:t>
            </w:r>
            <w:r>
              <w:rPr>
                <w:rFonts w:hint="eastAsia" w:ascii="宋体" w:hAnsi="宋体" w:cs="宋体"/>
                <w:color w:val="auto"/>
                <w:szCs w:val="21"/>
                <w:highlight w:val="none"/>
                <w:u w:val="none"/>
              </w:rPr>
              <w:t>内</w:t>
            </w:r>
            <w:r>
              <w:rPr>
                <w:rFonts w:hint="eastAsia" w:ascii="宋体" w:hAnsi="宋体" w:cs="宋体"/>
                <w:color w:val="auto"/>
                <w:szCs w:val="21"/>
                <w:highlight w:val="none"/>
              </w:rPr>
              <w:t>响应，</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rPr>
              <w:t>小时内到达现场，按需及时更换产品，特殊情况下按采购人要求提供备用产品。</w:t>
            </w:r>
          </w:p>
        </w:tc>
      </w:tr>
      <w:tr w14:paraId="56E6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0BDB64D7">
            <w:pPr>
              <w:spacing w:line="360" w:lineRule="auto"/>
              <w:jc w:val="center"/>
              <w:rPr>
                <w:rFonts w:ascii="宋体" w:hAnsi="宋体" w:cs="宋体"/>
                <w:bCs/>
                <w:color w:val="auto"/>
                <w:highlight w:val="none"/>
              </w:rPr>
            </w:pPr>
            <w:r>
              <w:rPr>
                <w:rFonts w:hint="eastAsia" w:ascii="宋体" w:hAnsi="宋体" w:cs="宋体"/>
                <w:bCs/>
                <w:color w:val="auto"/>
                <w:highlight w:val="none"/>
              </w:rPr>
              <w:t>3</w:t>
            </w:r>
          </w:p>
        </w:tc>
        <w:tc>
          <w:tcPr>
            <w:tcW w:w="1457" w:type="dxa"/>
            <w:vMerge w:val="restart"/>
            <w:noWrap w:val="0"/>
            <w:vAlign w:val="center"/>
          </w:tcPr>
          <w:p w14:paraId="67E5A8E4">
            <w:pPr>
              <w:spacing w:line="360" w:lineRule="auto"/>
              <w:jc w:val="center"/>
              <w:rPr>
                <w:rFonts w:ascii="宋体" w:hAnsi="宋体" w:cs="宋体"/>
                <w:bCs/>
                <w:color w:val="auto"/>
                <w:highlight w:val="none"/>
              </w:rPr>
            </w:pPr>
            <w:r>
              <w:rPr>
                <w:rFonts w:hint="eastAsia" w:ascii="宋体" w:hAnsi="宋体" w:cs="宋体"/>
                <w:bCs/>
                <w:color w:val="auto"/>
                <w:highlight w:val="none"/>
              </w:rPr>
              <w:t>其他</w:t>
            </w:r>
          </w:p>
        </w:tc>
        <w:tc>
          <w:tcPr>
            <w:tcW w:w="6081" w:type="dxa"/>
            <w:noWrap w:val="0"/>
            <w:vAlign w:val="center"/>
          </w:tcPr>
          <w:p w14:paraId="50C0A636">
            <w:pPr>
              <w:spacing w:line="360" w:lineRule="auto"/>
              <w:rPr>
                <w:rFonts w:ascii="宋体" w:hAnsi="宋体" w:cs="宋体"/>
                <w:color w:val="auto"/>
                <w:highlight w:val="none"/>
              </w:rPr>
            </w:pPr>
            <w:r>
              <w:rPr>
                <w:rFonts w:hint="eastAsia" w:ascii="宋体" w:hAnsi="宋体" w:cs="宋体"/>
                <w:color w:val="auto"/>
                <w:szCs w:val="21"/>
                <w:highlight w:val="none"/>
              </w:rPr>
              <w:t>3.1如采购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在使用</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所供货物过程中，发现货物有质量问题，中标</w:t>
            </w:r>
            <w:r>
              <w:rPr>
                <w:rFonts w:hint="eastAsia" w:ascii="宋体" w:hAnsi="宋体" w:cs="宋体"/>
                <w:color w:val="auto"/>
                <w:szCs w:val="21"/>
                <w:highlight w:val="none"/>
                <w:lang w:val="en-US" w:eastAsia="zh-CN"/>
              </w:rPr>
              <w:t>人应在接到采购人通知后3个工作日内给予书面答复并</w:t>
            </w:r>
            <w:r>
              <w:rPr>
                <w:rFonts w:hint="eastAsia" w:ascii="宋体" w:hAnsi="宋体" w:cs="宋体"/>
                <w:color w:val="auto"/>
                <w:szCs w:val="21"/>
                <w:highlight w:val="none"/>
              </w:rPr>
              <w:t>无条件</w:t>
            </w:r>
            <w:r>
              <w:rPr>
                <w:rFonts w:hint="eastAsia" w:ascii="宋体" w:hAnsi="宋体" w:cs="宋体"/>
                <w:color w:val="auto"/>
                <w:szCs w:val="21"/>
                <w:highlight w:val="none"/>
                <w:lang w:val="en-US" w:eastAsia="zh-CN"/>
              </w:rPr>
              <w:t>退</w:t>
            </w:r>
            <w:r>
              <w:rPr>
                <w:rFonts w:hint="eastAsia" w:ascii="宋体" w:hAnsi="宋体" w:cs="宋体"/>
                <w:color w:val="auto"/>
                <w:szCs w:val="21"/>
                <w:highlight w:val="none"/>
              </w:rPr>
              <w:t>换货。</w:t>
            </w:r>
            <w:r>
              <w:rPr>
                <w:rFonts w:hint="eastAsia" w:ascii="宋体" w:hAnsi="宋体" w:cs="宋体"/>
                <w:color w:val="auto"/>
                <w:szCs w:val="21"/>
                <w:highlight w:val="none"/>
                <w:lang w:val="en-US" w:eastAsia="zh-CN"/>
              </w:rPr>
              <w:t>中标人应</w:t>
            </w:r>
            <w:r>
              <w:rPr>
                <w:rFonts w:hint="eastAsia" w:ascii="宋体" w:hAnsi="宋体" w:cs="宋体"/>
                <w:color w:val="auto"/>
                <w:szCs w:val="21"/>
                <w:highlight w:val="none"/>
              </w:rPr>
              <w:t>及时掌握产品使用情况，以及产品的损耗、缺陷情况，保证售后服务及时性。</w:t>
            </w:r>
          </w:p>
        </w:tc>
      </w:tr>
      <w:tr w14:paraId="7540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6CB9015C">
            <w:pPr>
              <w:spacing w:line="360" w:lineRule="auto"/>
              <w:jc w:val="center"/>
              <w:rPr>
                <w:rFonts w:ascii="宋体" w:hAnsi="宋体" w:cs="宋体"/>
                <w:bCs/>
                <w:color w:val="auto"/>
                <w:highlight w:val="none"/>
              </w:rPr>
            </w:pPr>
          </w:p>
        </w:tc>
        <w:tc>
          <w:tcPr>
            <w:tcW w:w="1457" w:type="dxa"/>
            <w:vMerge w:val="continue"/>
            <w:noWrap w:val="0"/>
            <w:vAlign w:val="center"/>
          </w:tcPr>
          <w:p w14:paraId="03916CB0">
            <w:pPr>
              <w:spacing w:line="360" w:lineRule="auto"/>
              <w:jc w:val="center"/>
              <w:rPr>
                <w:rFonts w:ascii="宋体" w:hAnsi="宋体" w:cs="宋体"/>
                <w:bCs/>
                <w:color w:val="auto"/>
                <w:highlight w:val="none"/>
              </w:rPr>
            </w:pPr>
          </w:p>
        </w:tc>
        <w:tc>
          <w:tcPr>
            <w:tcW w:w="6081" w:type="dxa"/>
            <w:noWrap w:val="0"/>
            <w:vAlign w:val="center"/>
          </w:tcPr>
          <w:p w14:paraId="539D65CE">
            <w:pPr>
              <w:spacing w:line="360" w:lineRule="auto"/>
              <w:rPr>
                <w:rFonts w:ascii="宋体" w:hAnsi="宋体" w:cs="宋体"/>
                <w:color w:val="auto"/>
                <w:highlight w:val="none"/>
              </w:rPr>
            </w:pPr>
            <w:r>
              <w:rPr>
                <w:rFonts w:hint="eastAsia" w:ascii="宋体" w:hAnsi="宋体" w:cs="宋体"/>
                <w:color w:val="auto"/>
                <w:szCs w:val="21"/>
                <w:highlight w:val="none"/>
              </w:rPr>
              <w:t>3.2中标人要保质保量，货物质量须符合国家关于产品质量的相关法律法规、行业标准</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所有产品要符合招标技术参数要求。</w:t>
            </w:r>
          </w:p>
        </w:tc>
      </w:tr>
      <w:tr w14:paraId="52B4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0204F3A0">
            <w:pPr>
              <w:spacing w:line="360" w:lineRule="auto"/>
              <w:jc w:val="center"/>
              <w:rPr>
                <w:rFonts w:ascii="宋体" w:hAnsi="宋体" w:cs="宋体"/>
                <w:bCs/>
                <w:color w:val="auto"/>
                <w:highlight w:val="none"/>
              </w:rPr>
            </w:pPr>
          </w:p>
        </w:tc>
        <w:tc>
          <w:tcPr>
            <w:tcW w:w="1457" w:type="dxa"/>
            <w:vMerge w:val="continue"/>
            <w:noWrap w:val="0"/>
            <w:vAlign w:val="center"/>
          </w:tcPr>
          <w:p w14:paraId="783658BB">
            <w:pPr>
              <w:spacing w:line="360" w:lineRule="auto"/>
              <w:rPr>
                <w:rFonts w:ascii="宋体" w:hAnsi="宋体" w:cs="宋体"/>
                <w:bCs/>
                <w:color w:val="auto"/>
                <w:highlight w:val="none"/>
              </w:rPr>
            </w:pPr>
          </w:p>
        </w:tc>
        <w:tc>
          <w:tcPr>
            <w:tcW w:w="6081" w:type="dxa"/>
            <w:noWrap w:val="0"/>
            <w:vAlign w:val="center"/>
          </w:tcPr>
          <w:p w14:paraId="72FBFD1A">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3.3</w:t>
            </w:r>
            <w:r>
              <w:rPr>
                <w:rFonts w:hint="eastAsia" w:ascii="宋体" w:hAnsi="宋体" w:cs="宋体"/>
                <w:color w:val="auto"/>
                <w:szCs w:val="21"/>
                <w:highlight w:val="none"/>
                <w:lang w:val="en-US" w:eastAsia="zh-CN"/>
              </w:rPr>
              <w:t>中标人应</w:t>
            </w:r>
            <w:r>
              <w:rPr>
                <w:rFonts w:hint="eastAsia" w:ascii="宋体" w:hAnsi="宋体" w:eastAsia="宋体" w:cs="宋体"/>
                <w:color w:val="auto"/>
                <w:szCs w:val="21"/>
                <w:highlight w:val="none"/>
                <w:lang w:val="en-US" w:eastAsia="zh-CN"/>
              </w:rPr>
              <w:t>签订《低价承诺函》，承诺所提供的同品质货物价格为深圳市最低成交价。</w:t>
            </w:r>
          </w:p>
        </w:tc>
      </w:tr>
      <w:tr w14:paraId="6464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31B63ABD">
            <w:pPr>
              <w:spacing w:line="360" w:lineRule="auto"/>
              <w:jc w:val="center"/>
              <w:rPr>
                <w:rFonts w:ascii="宋体" w:hAnsi="宋体" w:cs="宋体"/>
                <w:bCs/>
                <w:color w:val="auto"/>
                <w:highlight w:val="none"/>
              </w:rPr>
            </w:pPr>
          </w:p>
        </w:tc>
        <w:tc>
          <w:tcPr>
            <w:tcW w:w="1457" w:type="dxa"/>
            <w:vMerge w:val="continue"/>
            <w:noWrap w:val="0"/>
            <w:vAlign w:val="center"/>
          </w:tcPr>
          <w:p w14:paraId="5C8354CE">
            <w:pPr>
              <w:spacing w:line="360" w:lineRule="auto"/>
              <w:rPr>
                <w:rFonts w:ascii="宋体" w:hAnsi="宋体" w:cs="宋体"/>
                <w:bCs/>
                <w:color w:val="auto"/>
                <w:highlight w:val="none"/>
              </w:rPr>
            </w:pPr>
          </w:p>
        </w:tc>
        <w:tc>
          <w:tcPr>
            <w:tcW w:w="6081" w:type="dxa"/>
            <w:noWrap w:val="0"/>
            <w:vAlign w:val="center"/>
          </w:tcPr>
          <w:p w14:paraId="46247815">
            <w:pPr>
              <w:spacing w:line="360" w:lineRule="auto"/>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抽检过程中第三方质检机构抽用的样式数量及抽检过程中造成的货物损耗，由中标人在双方签署验收报告前无条件补齐。</w:t>
            </w:r>
          </w:p>
        </w:tc>
      </w:tr>
      <w:tr w14:paraId="226A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10558B84">
            <w:pPr>
              <w:spacing w:line="360" w:lineRule="auto"/>
              <w:jc w:val="center"/>
              <w:rPr>
                <w:rFonts w:ascii="宋体" w:hAnsi="宋体" w:cs="宋体"/>
                <w:bCs/>
                <w:color w:val="auto"/>
                <w:highlight w:val="none"/>
              </w:rPr>
            </w:pPr>
          </w:p>
        </w:tc>
        <w:tc>
          <w:tcPr>
            <w:tcW w:w="1457" w:type="dxa"/>
            <w:vMerge w:val="continue"/>
            <w:noWrap w:val="0"/>
            <w:vAlign w:val="center"/>
          </w:tcPr>
          <w:p w14:paraId="1E5A7BDC">
            <w:pPr>
              <w:spacing w:line="360" w:lineRule="auto"/>
              <w:rPr>
                <w:rFonts w:ascii="宋体" w:hAnsi="宋体" w:cs="宋体"/>
                <w:bCs/>
                <w:color w:val="auto"/>
                <w:highlight w:val="none"/>
              </w:rPr>
            </w:pPr>
          </w:p>
        </w:tc>
        <w:tc>
          <w:tcPr>
            <w:tcW w:w="6081" w:type="dxa"/>
            <w:noWrap w:val="0"/>
            <w:vAlign w:val="center"/>
          </w:tcPr>
          <w:p w14:paraId="640B689E">
            <w:pPr>
              <w:spacing w:line="360" w:lineRule="auto"/>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5中标人</w:t>
            </w:r>
            <w:r>
              <w:rPr>
                <w:rFonts w:hint="eastAsia" w:ascii="宋体" w:hAnsi="宋体" w:cs="宋体"/>
                <w:color w:val="auto"/>
                <w:highlight w:val="none"/>
              </w:rPr>
              <w:t>应按其投标文件中的承诺，进行其他售后服务工作</w:t>
            </w:r>
            <w:r>
              <w:rPr>
                <w:rFonts w:hint="eastAsia" w:ascii="宋体" w:hAnsi="宋体" w:eastAsia="宋体" w:cs="宋体"/>
                <w:bCs/>
                <w:color w:val="auto"/>
                <w:szCs w:val="21"/>
                <w:highlight w:val="none"/>
              </w:rPr>
              <w:t>。</w:t>
            </w:r>
          </w:p>
        </w:tc>
      </w:tr>
      <w:tr w14:paraId="21FC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4" w:type="dxa"/>
            <w:noWrap w:val="0"/>
            <w:vAlign w:val="center"/>
          </w:tcPr>
          <w:p w14:paraId="2011A806">
            <w:pPr>
              <w:spacing w:line="360" w:lineRule="auto"/>
              <w:jc w:val="center"/>
              <w:rPr>
                <w:rFonts w:ascii="宋体" w:hAnsi="宋体" w:cs="宋体"/>
                <w:bCs/>
                <w:color w:val="auto"/>
                <w:highlight w:val="none"/>
              </w:rPr>
            </w:pP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二</w:t>
            </w:r>
            <w:r>
              <w:rPr>
                <w:rFonts w:hint="eastAsia" w:ascii="宋体" w:hAnsi="宋体" w:cs="宋体"/>
                <w:bCs/>
                <w:color w:val="auto"/>
                <w:highlight w:val="none"/>
                <w:lang w:eastAsia="zh-CN"/>
              </w:rPr>
              <w:t>）</w:t>
            </w:r>
          </w:p>
        </w:tc>
        <w:tc>
          <w:tcPr>
            <w:tcW w:w="7538" w:type="dxa"/>
            <w:gridSpan w:val="2"/>
            <w:noWrap w:val="0"/>
            <w:vAlign w:val="center"/>
          </w:tcPr>
          <w:p w14:paraId="0AFEBD01">
            <w:pPr>
              <w:spacing w:line="360" w:lineRule="auto"/>
              <w:rPr>
                <w:rFonts w:hint="eastAsia" w:ascii="宋体" w:hAnsi="宋体" w:eastAsia="宋体" w:cs="宋体"/>
              </w:rPr>
            </w:pPr>
            <w:r>
              <w:rPr>
                <w:rFonts w:hint="eastAsia" w:ascii="宋体" w:hAnsi="宋体" w:cs="宋体"/>
                <w:b/>
                <w:bCs/>
                <w:color w:val="000000"/>
                <w:kern w:val="0"/>
                <w:szCs w:val="21"/>
                <w:lang w:val="en-US" w:eastAsia="zh-CN" w:bidi="ar"/>
              </w:rPr>
              <w:t>其</w:t>
            </w:r>
            <w:r>
              <w:rPr>
                <w:rFonts w:hint="eastAsia" w:ascii="宋体" w:hAnsi="宋体" w:cs="宋体"/>
                <w:b/>
                <w:bCs/>
                <w:color w:val="000000"/>
                <w:kern w:val="0"/>
                <w:szCs w:val="21"/>
                <w:lang w:bidi="ar"/>
              </w:rPr>
              <w:t>他商务要求</w:t>
            </w:r>
          </w:p>
        </w:tc>
      </w:tr>
      <w:tr w14:paraId="4AD2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EA8E4B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p>
        </w:tc>
        <w:tc>
          <w:tcPr>
            <w:tcW w:w="1457" w:type="dxa"/>
            <w:noWrap w:val="0"/>
            <w:vAlign w:val="center"/>
          </w:tcPr>
          <w:p w14:paraId="3F51C3B9">
            <w:pPr>
              <w:spacing w:line="360" w:lineRule="auto"/>
              <w:jc w:val="center"/>
              <w:rPr>
                <w:rFonts w:ascii="宋体" w:hAnsi="宋体" w:cs="宋体"/>
                <w:bCs/>
                <w:color w:val="auto"/>
                <w:highlight w:val="none"/>
              </w:rPr>
            </w:pPr>
            <w:r>
              <w:rPr>
                <w:rFonts w:hint="eastAsia" w:ascii="宋体" w:hAnsi="宋体" w:eastAsia="宋体" w:cs="宋体"/>
              </w:rPr>
              <w:t>合同履行期限</w:t>
            </w:r>
          </w:p>
        </w:tc>
        <w:tc>
          <w:tcPr>
            <w:tcW w:w="6081" w:type="dxa"/>
            <w:noWrap w:val="0"/>
            <w:vAlign w:val="center"/>
          </w:tcPr>
          <w:p w14:paraId="469C7ACD">
            <w:pPr>
              <w:spacing w:line="360" w:lineRule="auto"/>
              <w:rPr>
                <w:rFonts w:hint="eastAsia" w:ascii="宋体" w:hAnsi="宋体" w:eastAsia="宋体" w:cs="宋体"/>
                <w:color w:val="auto"/>
                <w:szCs w:val="21"/>
                <w:highlight w:val="none"/>
                <w:lang w:eastAsia="zh-CN"/>
              </w:rPr>
            </w:pPr>
            <w:r>
              <w:rPr>
                <w:rFonts w:hint="eastAsia" w:ascii="宋体" w:hAnsi="宋体" w:cs="宋体"/>
                <w:lang w:val="en-US" w:eastAsia="zh-CN"/>
              </w:rPr>
              <w:t>本项目合同履行期限自签订合同之日起至2027年4月7日止。</w:t>
            </w:r>
            <w:r>
              <w:rPr>
                <w:rFonts w:hint="eastAsia" w:ascii="宋体" w:hAnsi="宋体" w:eastAsia="宋体" w:cs="宋体"/>
              </w:rPr>
              <w:t>合同履行</w:t>
            </w:r>
            <w:r>
              <w:rPr>
                <w:rFonts w:hint="eastAsia" w:ascii="宋体" w:hAnsi="宋体" w:cs="宋体"/>
                <w:lang w:val="en-US" w:eastAsia="zh-CN"/>
              </w:rPr>
              <w:t>期间，</w:t>
            </w:r>
            <w:r>
              <w:rPr>
                <w:rFonts w:hint="eastAsia" w:ascii="宋体" w:hAnsi="宋体" w:eastAsia="宋体" w:cs="宋体"/>
                <w:lang w:val="en-US" w:eastAsia="zh-CN"/>
              </w:rPr>
              <w:t>中标人</w:t>
            </w:r>
            <w:r>
              <w:rPr>
                <w:rFonts w:hint="eastAsia" w:ascii="宋体" w:hAnsi="宋体" w:eastAsia="宋体" w:cs="宋体"/>
              </w:rPr>
              <w:t>负责</w:t>
            </w:r>
            <w:r>
              <w:rPr>
                <w:rFonts w:hint="eastAsia" w:ascii="宋体" w:hAnsi="宋体" w:cs="宋体"/>
                <w:lang w:val="en-US" w:eastAsia="zh-CN"/>
              </w:rPr>
              <w:t>完成</w:t>
            </w:r>
            <w:r>
              <w:rPr>
                <w:rFonts w:hint="eastAsia" w:ascii="宋体" w:hAnsi="宋体" w:eastAsia="宋体" w:cs="宋体"/>
              </w:rPr>
              <w:t>货物供货、运输、保管、安装、调试、验收、培训等</w:t>
            </w:r>
            <w:r>
              <w:rPr>
                <w:rFonts w:hint="eastAsia" w:ascii="宋体" w:hAnsi="宋体" w:cs="宋体"/>
                <w:lang w:val="en-US" w:eastAsia="zh-CN"/>
              </w:rPr>
              <w:t>全部</w:t>
            </w:r>
            <w:r>
              <w:rPr>
                <w:rFonts w:hint="eastAsia" w:ascii="宋体" w:hAnsi="宋体" w:eastAsia="宋体" w:cs="宋体"/>
              </w:rPr>
              <w:t>相关服务</w:t>
            </w:r>
            <w:r>
              <w:rPr>
                <w:rFonts w:hint="eastAsia" w:ascii="宋体" w:hAnsi="宋体" w:eastAsia="宋体" w:cs="宋体"/>
                <w:lang w:eastAsia="zh-CN"/>
              </w:rPr>
              <w:t>。</w:t>
            </w:r>
          </w:p>
        </w:tc>
      </w:tr>
      <w:tr w14:paraId="420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77970CA2">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p>
        </w:tc>
        <w:tc>
          <w:tcPr>
            <w:tcW w:w="1457" w:type="dxa"/>
            <w:vMerge w:val="restart"/>
            <w:noWrap w:val="0"/>
            <w:vAlign w:val="center"/>
          </w:tcPr>
          <w:p w14:paraId="60AD58BA">
            <w:pPr>
              <w:spacing w:line="360" w:lineRule="auto"/>
              <w:jc w:val="center"/>
              <w:rPr>
                <w:rFonts w:hint="default" w:ascii="宋体" w:hAnsi="宋体" w:eastAsia="宋体" w:cs="宋体"/>
                <w:lang w:val="en-US" w:eastAsia="zh-CN"/>
              </w:rPr>
            </w:pPr>
            <w:r>
              <w:rPr>
                <w:rFonts w:hint="eastAsia" w:ascii="宋体" w:hAnsi="宋体" w:eastAsia="宋体" w:cs="宋体"/>
              </w:rPr>
              <w:t>交货</w:t>
            </w:r>
            <w:r>
              <w:rPr>
                <w:rFonts w:hint="eastAsia" w:ascii="宋体" w:hAnsi="宋体" w:eastAsia="宋体" w:cs="宋体"/>
                <w:lang w:val="en-US" w:eastAsia="zh-CN"/>
              </w:rPr>
              <w:t>时间、地点及验收方式</w:t>
            </w:r>
          </w:p>
        </w:tc>
        <w:tc>
          <w:tcPr>
            <w:tcW w:w="6081" w:type="dxa"/>
            <w:noWrap w:val="0"/>
            <w:vAlign w:val="center"/>
          </w:tcPr>
          <w:p w14:paraId="39602D87">
            <w:pPr>
              <w:spacing w:line="360" w:lineRule="auto"/>
              <w:rPr>
                <w:rFonts w:hint="eastAsia" w:ascii="宋体" w:hAnsi="宋体" w:eastAsia="宋体" w:cs="宋体"/>
              </w:rPr>
            </w:pPr>
            <w:r>
              <w:rPr>
                <w:rFonts w:hint="eastAsia" w:ascii="宋体" w:hAnsi="宋体" w:cs="宋体"/>
                <w:lang w:val="en-US" w:eastAsia="zh-CN"/>
              </w:rPr>
              <w:t>2.1中标人</w:t>
            </w:r>
            <w:r>
              <w:rPr>
                <w:rFonts w:hint="eastAsia" w:ascii="宋体" w:hAnsi="宋体" w:eastAsia="宋体" w:cs="宋体"/>
              </w:rPr>
              <w:t>接到</w:t>
            </w:r>
            <w:r>
              <w:rPr>
                <w:rFonts w:hint="eastAsia" w:ascii="宋体" w:hAnsi="宋体" w:cs="宋体"/>
                <w:lang w:val="en-US" w:eastAsia="zh-CN"/>
              </w:rPr>
              <w:t>采购人</w:t>
            </w:r>
            <w:r>
              <w:rPr>
                <w:rFonts w:hint="eastAsia" w:ascii="宋体" w:hAnsi="宋体" w:eastAsia="宋体" w:cs="宋体"/>
              </w:rPr>
              <w:t>订单通知后</w:t>
            </w:r>
            <w:r>
              <w:rPr>
                <w:rFonts w:hint="eastAsia" w:ascii="宋体" w:hAnsi="宋体" w:eastAsia="宋体" w:cs="宋体"/>
                <w:lang w:val="en-US" w:eastAsia="zh-CN"/>
              </w:rPr>
              <w:t>7</w:t>
            </w:r>
            <w:r>
              <w:rPr>
                <w:rFonts w:hint="eastAsia" w:ascii="宋体" w:hAnsi="宋体" w:eastAsia="宋体" w:cs="宋体"/>
              </w:rPr>
              <w:t>日内免费将货物送达</w:t>
            </w:r>
            <w:r>
              <w:rPr>
                <w:rFonts w:hint="eastAsia" w:ascii="宋体" w:hAnsi="宋体" w:cs="宋体"/>
                <w:lang w:val="en-US" w:eastAsia="zh-CN"/>
              </w:rPr>
              <w:t>采购人</w:t>
            </w:r>
            <w:r>
              <w:rPr>
                <w:rFonts w:hint="eastAsia" w:ascii="宋体" w:hAnsi="宋体" w:eastAsia="宋体" w:cs="宋体"/>
              </w:rPr>
              <w:t>指定地点（集团总部及其下属社康</w:t>
            </w:r>
            <w:bookmarkStart w:id="5" w:name="_GoBack"/>
            <w:bookmarkEnd w:id="5"/>
            <w:r>
              <w:rPr>
                <w:rFonts w:hint="eastAsia" w:ascii="宋体" w:hAnsi="宋体" w:eastAsia="宋体" w:cs="宋体"/>
              </w:rPr>
              <w:t>机构</w:t>
            </w:r>
            <w:r>
              <w:rPr>
                <w:rFonts w:hint="eastAsia" w:ascii="宋体" w:hAnsi="宋体" w:eastAsia="宋体" w:cs="宋体"/>
                <w:lang w:eastAsia="zh-CN"/>
              </w:rPr>
              <w:t>（</w:t>
            </w:r>
            <w:r>
              <w:rPr>
                <w:rFonts w:hint="eastAsia" w:ascii="宋体" w:hAnsi="宋体" w:eastAsia="宋体" w:cs="宋体"/>
                <w:lang w:val="en-US" w:eastAsia="zh-CN"/>
              </w:rPr>
              <w:t>目前约有90家，社康数量后续会有所增加</w:t>
            </w:r>
            <w:r>
              <w:rPr>
                <w:rFonts w:hint="eastAsia" w:ascii="宋体" w:hAnsi="宋体" w:eastAsia="宋体" w:cs="宋体"/>
                <w:lang w:eastAsia="zh-CN"/>
              </w:rPr>
              <w:t>）</w:t>
            </w:r>
            <w:r>
              <w:rPr>
                <w:rFonts w:hint="eastAsia" w:ascii="宋体" w:hAnsi="宋体" w:eastAsia="宋体" w:cs="宋体"/>
              </w:rPr>
              <w:t>）</w:t>
            </w:r>
            <w:r>
              <w:rPr>
                <w:rFonts w:hint="eastAsia" w:ascii="宋体" w:hAnsi="宋体" w:cs="宋体"/>
                <w:lang w:eastAsia="zh-CN"/>
              </w:rPr>
              <w:t>。由</w:t>
            </w:r>
            <w:r>
              <w:rPr>
                <w:rFonts w:hint="eastAsia" w:ascii="宋体" w:hAnsi="宋体" w:cs="宋体"/>
                <w:lang w:val="en-US" w:eastAsia="zh-CN"/>
              </w:rPr>
              <w:t>中标人代表</w:t>
            </w:r>
            <w:r>
              <w:rPr>
                <w:rFonts w:hint="eastAsia" w:ascii="宋体" w:hAnsi="宋体" w:cs="宋体"/>
                <w:lang w:eastAsia="zh-CN"/>
              </w:rPr>
              <w:t>和</w:t>
            </w:r>
            <w:r>
              <w:rPr>
                <w:rFonts w:hint="eastAsia" w:ascii="宋体" w:hAnsi="宋体" w:cs="宋体"/>
                <w:lang w:val="en-US" w:eastAsia="zh-CN"/>
              </w:rPr>
              <w:t>采购人</w:t>
            </w:r>
            <w:r>
              <w:rPr>
                <w:rFonts w:hint="eastAsia" w:ascii="宋体" w:hAnsi="宋体" w:cs="宋体"/>
                <w:lang w:eastAsia="zh-CN"/>
              </w:rPr>
              <w:t>使用科室共同对</w:t>
            </w:r>
            <w:r>
              <w:rPr>
                <w:rFonts w:hint="eastAsia" w:ascii="宋体" w:hAnsi="宋体" w:cs="宋体"/>
                <w:lang w:val="en-US" w:eastAsia="zh-CN"/>
              </w:rPr>
              <w:t>中标人</w:t>
            </w:r>
            <w:r>
              <w:rPr>
                <w:rFonts w:hint="eastAsia" w:ascii="宋体" w:hAnsi="宋体" w:cs="宋体"/>
                <w:lang w:eastAsia="zh-CN"/>
              </w:rPr>
              <w:t>提供货物的质量及数量进行验收，验收无误后双方签名确认送货单（明确注明货物名称、规格</w:t>
            </w:r>
            <w:r>
              <w:rPr>
                <w:rFonts w:hint="eastAsia" w:ascii="宋体" w:hAnsi="宋体" w:cs="宋体"/>
                <w:lang w:val="en-US" w:eastAsia="zh-CN"/>
              </w:rPr>
              <w:t>型号</w:t>
            </w:r>
            <w:r>
              <w:rPr>
                <w:rFonts w:hint="eastAsia" w:ascii="宋体" w:hAnsi="宋体" w:cs="宋体"/>
                <w:lang w:eastAsia="zh-CN"/>
              </w:rPr>
              <w:t>、生产厂家、单价、总金额等内容，作为</w:t>
            </w:r>
            <w:r>
              <w:rPr>
                <w:rFonts w:hint="eastAsia" w:ascii="宋体" w:hAnsi="宋体" w:cs="宋体"/>
                <w:lang w:val="en-US" w:eastAsia="zh-CN"/>
              </w:rPr>
              <w:t>采购人</w:t>
            </w:r>
            <w:r>
              <w:rPr>
                <w:rFonts w:hint="eastAsia" w:ascii="宋体" w:hAnsi="宋体" w:cs="宋体"/>
                <w:lang w:eastAsia="zh-CN"/>
              </w:rPr>
              <w:t>入库验收凭证），入库验收凭证</w:t>
            </w:r>
            <w:r>
              <w:rPr>
                <w:rFonts w:hint="eastAsia" w:ascii="宋体" w:hAnsi="宋体" w:cs="宋体"/>
                <w:lang w:val="en-US" w:eastAsia="zh-CN"/>
              </w:rPr>
              <w:t>材料逾期超过60个自然日未提交，将视为所供货物为免费提供，不予报销</w:t>
            </w:r>
            <w:r>
              <w:rPr>
                <w:rFonts w:hint="eastAsia" w:ascii="宋体" w:hAnsi="宋体" w:cs="宋体"/>
                <w:lang w:eastAsia="zh-CN"/>
              </w:rPr>
              <w:t>。</w:t>
            </w:r>
          </w:p>
        </w:tc>
      </w:tr>
      <w:tr w14:paraId="7AB7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08BED27A">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493D7090">
            <w:pPr>
              <w:spacing w:line="360" w:lineRule="auto"/>
              <w:jc w:val="center"/>
              <w:rPr>
                <w:rFonts w:hint="eastAsia" w:ascii="宋体" w:hAnsi="宋体" w:eastAsia="宋体" w:cs="宋体"/>
              </w:rPr>
            </w:pPr>
          </w:p>
        </w:tc>
        <w:tc>
          <w:tcPr>
            <w:tcW w:w="6081" w:type="dxa"/>
            <w:noWrap w:val="0"/>
            <w:vAlign w:val="center"/>
          </w:tcPr>
          <w:p w14:paraId="61A41B9E">
            <w:pPr>
              <w:spacing w:line="360" w:lineRule="auto"/>
              <w:rPr>
                <w:rFonts w:hint="default" w:ascii="宋体" w:hAnsi="宋体" w:cs="宋体"/>
                <w:lang w:val="en-US" w:eastAsia="zh-CN"/>
              </w:rPr>
            </w:pPr>
            <w:r>
              <w:rPr>
                <w:rFonts w:hint="eastAsia" w:ascii="宋体" w:hAnsi="宋体" w:cs="宋体"/>
                <w:lang w:val="en-US" w:eastAsia="zh-CN"/>
              </w:rPr>
              <w:t>2.2货物在采购人签字确认验收合格前的损毁、灭失等一切风险由中标人承担。中标人提供的货物不符合招标要求的，采购人有权拒收货物，由此引起的相关风险及损失由中标人承担。</w:t>
            </w:r>
          </w:p>
        </w:tc>
      </w:tr>
      <w:tr w14:paraId="307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3F295B8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3</w:t>
            </w:r>
          </w:p>
        </w:tc>
        <w:tc>
          <w:tcPr>
            <w:tcW w:w="1457" w:type="dxa"/>
            <w:noWrap w:val="0"/>
            <w:vAlign w:val="center"/>
          </w:tcPr>
          <w:p w14:paraId="55AD6B1A">
            <w:pPr>
              <w:spacing w:line="360" w:lineRule="auto"/>
              <w:jc w:val="center"/>
              <w:rPr>
                <w:rFonts w:hint="eastAsia" w:ascii="宋体" w:hAnsi="宋体" w:eastAsia="宋体" w:cs="宋体"/>
              </w:rPr>
            </w:pPr>
            <w:r>
              <w:rPr>
                <w:rFonts w:hint="eastAsia" w:ascii="宋体" w:hAnsi="宋体" w:eastAsia="宋体" w:cs="宋体"/>
              </w:rPr>
              <w:t>付款方式</w:t>
            </w:r>
          </w:p>
        </w:tc>
        <w:tc>
          <w:tcPr>
            <w:tcW w:w="6081" w:type="dxa"/>
            <w:noWrap w:val="0"/>
            <w:vAlign w:val="center"/>
          </w:tcPr>
          <w:p w14:paraId="1F624E3D">
            <w:pPr>
              <w:spacing w:line="360" w:lineRule="auto"/>
              <w:rPr>
                <w:rFonts w:hint="eastAsia" w:ascii="宋体" w:hAnsi="宋体" w:eastAsia="宋体" w:cs="宋体"/>
                <w:lang w:eastAsia="zh-CN"/>
              </w:rPr>
            </w:pPr>
            <w:r>
              <w:rPr>
                <w:rFonts w:hint="eastAsia" w:ascii="宋体" w:hAnsi="宋体" w:eastAsia="宋体" w:cs="宋体"/>
                <w:lang w:val="en-US" w:eastAsia="zh-CN"/>
              </w:rPr>
              <w:t>中标人</w:t>
            </w:r>
            <w:r>
              <w:rPr>
                <w:rFonts w:hint="eastAsia" w:ascii="宋体" w:hAnsi="宋体" w:eastAsia="宋体" w:cs="宋体"/>
                <w:lang w:eastAsia="zh-CN"/>
              </w:rPr>
              <w:t>应于货到指定地点</w:t>
            </w:r>
            <w:r>
              <w:rPr>
                <w:rFonts w:hint="eastAsia" w:ascii="宋体" w:hAnsi="宋体" w:eastAsia="宋体" w:cs="宋体"/>
                <w:lang w:val="en-US" w:eastAsia="zh-CN"/>
              </w:rPr>
              <w:t>并</w:t>
            </w:r>
            <w:r>
              <w:rPr>
                <w:rFonts w:hint="eastAsia" w:ascii="宋体" w:hAnsi="宋体" w:eastAsia="宋体" w:cs="宋体"/>
                <w:lang w:eastAsia="zh-CN"/>
              </w:rPr>
              <w:t>验收合格后十个工作日内，向</w:t>
            </w:r>
            <w:r>
              <w:rPr>
                <w:rFonts w:hint="eastAsia" w:ascii="宋体" w:hAnsi="宋体" w:eastAsia="宋体" w:cs="宋体"/>
                <w:lang w:val="en-US" w:eastAsia="zh-CN"/>
              </w:rPr>
              <w:t>采购人</w:t>
            </w:r>
            <w:r>
              <w:rPr>
                <w:rFonts w:hint="eastAsia" w:ascii="宋体" w:hAnsi="宋体" w:eastAsia="宋体" w:cs="宋体"/>
                <w:lang w:eastAsia="zh-CN"/>
              </w:rPr>
              <w:t>提供相应金额合法有效的税务发票、送货单及</w:t>
            </w:r>
            <w:r>
              <w:rPr>
                <w:rFonts w:hint="eastAsia" w:ascii="宋体" w:hAnsi="宋体" w:eastAsia="宋体" w:cs="宋体"/>
                <w:lang w:val="en-US" w:eastAsia="zh-CN"/>
              </w:rPr>
              <w:t>采购人、中标人</w:t>
            </w:r>
            <w:r>
              <w:rPr>
                <w:rFonts w:hint="eastAsia" w:ascii="宋体" w:hAnsi="宋体" w:eastAsia="宋体" w:cs="宋体"/>
                <w:lang w:eastAsia="zh-CN"/>
              </w:rPr>
              <w:t>双方约定的其他材料，并于当月办理完入库手续。</w:t>
            </w:r>
            <w:r>
              <w:rPr>
                <w:rFonts w:hint="eastAsia" w:ascii="宋体" w:hAnsi="宋体" w:eastAsia="宋体" w:cs="宋体"/>
                <w:lang w:val="en-US" w:eastAsia="zh-CN"/>
              </w:rPr>
              <w:t>按采购人</w:t>
            </w:r>
            <w:r>
              <w:rPr>
                <w:rFonts w:hint="eastAsia" w:ascii="宋体" w:hAnsi="宋体" w:eastAsia="宋体" w:cs="宋体"/>
                <w:lang w:eastAsia="zh-CN"/>
              </w:rPr>
              <w:t>实际下单</w:t>
            </w:r>
            <w:r>
              <w:rPr>
                <w:rFonts w:hint="eastAsia" w:ascii="宋体" w:hAnsi="宋体" w:eastAsia="宋体" w:cs="宋体"/>
                <w:lang w:val="en-US" w:eastAsia="zh-CN"/>
              </w:rPr>
              <w:t>收到的</w:t>
            </w:r>
            <w:r>
              <w:rPr>
                <w:rFonts w:hint="eastAsia" w:ascii="宋体" w:hAnsi="宋体" w:eastAsia="宋体" w:cs="宋体"/>
                <w:lang w:eastAsia="zh-CN"/>
              </w:rPr>
              <w:t>数量据实结算</w:t>
            </w:r>
            <w:r>
              <w:rPr>
                <w:rFonts w:hint="eastAsia" w:ascii="宋体" w:hAnsi="宋体" w:eastAsia="宋体" w:cs="宋体"/>
                <w:lang w:val="en-US" w:eastAsia="zh-CN"/>
              </w:rPr>
              <w:t>，</w:t>
            </w:r>
            <w:r>
              <w:rPr>
                <w:rFonts w:hint="eastAsia" w:ascii="宋体" w:hAnsi="宋体" w:eastAsia="宋体" w:cs="宋体"/>
              </w:rPr>
              <w:t>按深圳市南山区医疗集团总部资产运营部有关规定付款</w:t>
            </w:r>
            <w:r>
              <w:rPr>
                <w:rFonts w:hint="eastAsia" w:ascii="宋体" w:hAnsi="宋体" w:eastAsia="宋体" w:cs="宋体"/>
                <w:lang w:eastAsia="zh-CN"/>
              </w:rPr>
              <w:t>。</w:t>
            </w:r>
          </w:p>
        </w:tc>
      </w:tr>
      <w:tr w14:paraId="440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noWrap w:val="0"/>
            <w:vAlign w:val="center"/>
          </w:tcPr>
          <w:p w14:paraId="49767380">
            <w:pPr>
              <w:spacing w:line="360" w:lineRule="auto"/>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4</w:t>
            </w:r>
          </w:p>
        </w:tc>
        <w:tc>
          <w:tcPr>
            <w:tcW w:w="1457" w:type="dxa"/>
            <w:noWrap w:val="0"/>
            <w:vAlign w:val="center"/>
          </w:tcPr>
          <w:p w14:paraId="2290CE24">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知识产权</w:t>
            </w:r>
          </w:p>
        </w:tc>
        <w:tc>
          <w:tcPr>
            <w:tcW w:w="6081" w:type="dxa"/>
            <w:noWrap w:val="0"/>
            <w:vAlign w:val="center"/>
          </w:tcPr>
          <w:p w14:paraId="29C83754">
            <w:pPr>
              <w:spacing w:line="360" w:lineRule="auto"/>
              <w:rPr>
                <w:rFonts w:hint="eastAsia" w:ascii="宋体" w:hAnsi="宋体" w:eastAsia="宋体" w:cs="宋体"/>
                <w:lang w:val="en-US" w:eastAsia="zh-CN"/>
              </w:rPr>
            </w:pPr>
            <w:r>
              <w:rPr>
                <w:rFonts w:hint="eastAsia" w:ascii="宋体" w:hAnsi="宋体" w:eastAsia="宋体" w:cs="宋体"/>
                <w:lang w:val="en-US" w:eastAsia="zh-CN"/>
              </w:rPr>
              <w:t>中标人应保证所供货物的合法性，任何知识产权、商品名称及其他权益的纠纷均与采购人无关。如因中标人的原因导致所供货物造成采购人与第三方发生纠纷的，均由中标人负责处理并承担全部法律责任，因此给采购人造成任何损失，中标人应双倍赔付，包括但不限于采购人所支付的侵权损害赔偿费、律师费、诉讼费、仲裁费、办案差旅费、保全费等应诉、沟通协调所发生的一切费用。</w:t>
            </w:r>
          </w:p>
        </w:tc>
      </w:tr>
      <w:tr w14:paraId="1302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restart"/>
            <w:noWrap w:val="0"/>
            <w:vAlign w:val="center"/>
          </w:tcPr>
          <w:p w14:paraId="47B344B5">
            <w:pPr>
              <w:spacing w:line="36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5</w:t>
            </w:r>
          </w:p>
        </w:tc>
        <w:tc>
          <w:tcPr>
            <w:tcW w:w="1457" w:type="dxa"/>
            <w:vMerge w:val="restart"/>
            <w:noWrap w:val="0"/>
            <w:vAlign w:val="center"/>
          </w:tcPr>
          <w:p w14:paraId="56403767">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违约责任</w:t>
            </w:r>
          </w:p>
        </w:tc>
        <w:tc>
          <w:tcPr>
            <w:tcW w:w="6081" w:type="dxa"/>
            <w:noWrap w:val="0"/>
            <w:vAlign w:val="center"/>
          </w:tcPr>
          <w:p w14:paraId="7F15F723">
            <w:pPr>
              <w:spacing w:line="360" w:lineRule="auto"/>
              <w:rPr>
                <w:rFonts w:hint="default" w:ascii="宋体" w:hAnsi="宋体" w:eastAsia="宋体" w:cs="宋体"/>
                <w:lang w:val="en-US" w:eastAsia="zh-CN"/>
              </w:rPr>
            </w:pPr>
            <w:r>
              <w:rPr>
                <w:rFonts w:hint="eastAsia" w:ascii="宋体" w:hAnsi="宋体" w:eastAsia="宋体" w:cs="宋体"/>
                <w:lang w:val="en-US" w:eastAsia="zh-CN"/>
              </w:rPr>
              <w:t>5.1若中标人未按照投标文件中承诺的时间交货或提供服务，中标人应承担逾期交货或逾期服务的违约责任及违约金，并赔偿采购人因此造成的实际经济损失。</w:t>
            </w:r>
          </w:p>
        </w:tc>
      </w:tr>
      <w:tr w14:paraId="1D16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4EA091B9">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DF9FAE8">
            <w:pPr>
              <w:spacing w:line="360" w:lineRule="auto"/>
              <w:jc w:val="center"/>
              <w:rPr>
                <w:rFonts w:hint="eastAsia" w:ascii="宋体" w:hAnsi="宋体" w:eastAsia="宋体" w:cs="宋体"/>
                <w:lang w:val="en-US" w:eastAsia="zh-CN"/>
              </w:rPr>
            </w:pPr>
          </w:p>
        </w:tc>
        <w:tc>
          <w:tcPr>
            <w:tcW w:w="6081" w:type="dxa"/>
            <w:noWrap w:val="0"/>
            <w:vAlign w:val="center"/>
          </w:tcPr>
          <w:p w14:paraId="0E64AE6A">
            <w:pPr>
              <w:spacing w:line="360" w:lineRule="auto"/>
              <w:rPr>
                <w:rFonts w:hint="default" w:ascii="宋体" w:hAnsi="宋体" w:eastAsia="宋体" w:cs="宋体"/>
                <w:lang w:val="en-US" w:eastAsia="zh-CN"/>
              </w:rPr>
            </w:pPr>
            <w:r>
              <w:rPr>
                <w:rFonts w:hint="eastAsia" w:ascii="宋体" w:hAnsi="宋体" w:eastAsia="宋体" w:cs="宋体"/>
                <w:lang w:val="en-US" w:eastAsia="zh-CN"/>
              </w:rPr>
              <w:t>5.2若中标人所供货物或服务未达到</w:t>
            </w:r>
            <w:r>
              <w:rPr>
                <w:rFonts w:hint="eastAsia" w:ascii="宋体" w:hAnsi="宋体" w:cs="宋体"/>
                <w:kern w:val="0"/>
                <w:szCs w:val="21"/>
                <w:lang w:bidi="ar"/>
              </w:rPr>
              <w:t>招标文件</w:t>
            </w:r>
            <w:r>
              <w:rPr>
                <w:rFonts w:hint="eastAsia" w:ascii="宋体" w:hAnsi="宋体" w:cs="宋体"/>
                <w:kern w:val="0"/>
                <w:szCs w:val="21"/>
                <w:lang w:val="en-US" w:eastAsia="zh-CN" w:bidi="ar"/>
              </w:rPr>
              <w:t>要求</w:t>
            </w:r>
            <w:r>
              <w:rPr>
                <w:rFonts w:hint="eastAsia" w:ascii="宋体" w:hAnsi="宋体" w:eastAsia="宋体" w:cs="宋体"/>
                <w:lang w:val="en-US" w:eastAsia="zh-CN"/>
              </w:rPr>
              <w:t>的数量、质量、质量保证期、品牌、规格型号等要求的，视为中标人未交货，</w:t>
            </w:r>
            <w:r>
              <w:rPr>
                <w:rFonts w:hint="eastAsia" w:ascii="宋体" w:hAnsi="宋体" w:cs="宋体"/>
                <w:kern w:val="0"/>
                <w:szCs w:val="21"/>
                <w:lang w:bidi="ar"/>
              </w:rPr>
              <w:t>采购人</w:t>
            </w:r>
            <w:r>
              <w:rPr>
                <w:rFonts w:hint="eastAsia" w:ascii="宋体" w:hAnsi="宋体" w:eastAsia="宋体" w:cs="宋体"/>
                <w:lang w:val="en-US" w:eastAsia="zh-CN"/>
              </w:rPr>
              <w:t>有权拒绝收货，中标人应承担相关违约责任及违约金，并赔偿采购人因此造成的实际经济损失。</w:t>
            </w:r>
            <w:r>
              <w:rPr>
                <w:rFonts w:hint="eastAsia" w:ascii="宋体" w:hAnsi="宋体" w:cs="宋体"/>
                <w:kern w:val="0"/>
                <w:szCs w:val="21"/>
                <w:lang w:bidi="ar"/>
              </w:rPr>
              <w:t>造成严重后果的，根据《深圳经济特区政府采购条例》第五十七条第（二）款规定，由主管部门对中标人进行处罚。</w:t>
            </w:r>
          </w:p>
        </w:tc>
      </w:tr>
      <w:tr w14:paraId="3675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21CC54D7">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9B04047">
            <w:pPr>
              <w:spacing w:line="360" w:lineRule="auto"/>
              <w:jc w:val="center"/>
              <w:rPr>
                <w:rFonts w:hint="eastAsia" w:ascii="宋体" w:hAnsi="宋体" w:eastAsia="宋体" w:cs="宋体"/>
                <w:lang w:val="en-US" w:eastAsia="zh-CN"/>
              </w:rPr>
            </w:pPr>
          </w:p>
        </w:tc>
        <w:tc>
          <w:tcPr>
            <w:tcW w:w="6081" w:type="dxa"/>
            <w:noWrap w:val="0"/>
            <w:vAlign w:val="center"/>
          </w:tcPr>
          <w:p w14:paraId="2291CFE4">
            <w:pPr>
              <w:spacing w:line="360" w:lineRule="auto"/>
              <w:rPr>
                <w:rFonts w:hint="default" w:ascii="宋体" w:hAnsi="宋体" w:eastAsia="宋体" w:cs="宋体"/>
                <w:lang w:val="en-US" w:eastAsia="zh-CN"/>
              </w:rPr>
            </w:pPr>
            <w:r>
              <w:rPr>
                <w:rFonts w:hint="eastAsia" w:ascii="宋体" w:hAnsi="宋体" w:eastAsia="宋体" w:cs="宋体"/>
                <w:lang w:val="en-US" w:eastAsia="zh-CN"/>
              </w:rPr>
              <w:t>5.3若采购人在使用中标人所供货物过程中，发现货物有质量问题，中标人应在接到采购人通知后3个工作日内给予书面答复并无条件退换货，同时采购人有权单方面解除合同，中标人应承担相关违约责任及违约金，并赔偿采购人因此造成的实际经济损失。</w:t>
            </w:r>
            <w:r>
              <w:rPr>
                <w:rFonts w:hint="eastAsia" w:ascii="宋体" w:hAnsi="宋体" w:cs="宋体"/>
                <w:kern w:val="0"/>
                <w:szCs w:val="21"/>
                <w:lang w:bidi="ar"/>
              </w:rPr>
              <w:t>造成严重后果的，根据《深圳经济特区政府采购条例》第五十七条第（二）款规定，由主管部门对中标人进行处罚。</w:t>
            </w:r>
          </w:p>
        </w:tc>
      </w:tr>
      <w:tr w14:paraId="1AD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77A77B4A">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312BAF03">
            <w:pPr>
              <w:spacing w:line="360" w:lineRule="auto"/>
              <w:jc w:val="center"/>
              <w:rPr>
                <w:rFonts w:hint="eastAsia" w:ascii="宋体" w:hAnsi="宋体" w:eastAsia="宋体" w:cs="宋体"/>
                <w:lang w:val="en-US" w:eastAsia="zh-CN"/>
              </w:rPr>
            </w:pPr>
          </w:p>
        </w:tc>
        <w:tc>
          <w:tcPr>
            <w:tcW w:w="6081" w:type="dxa"/>
            <w:noWrap w:val="0"/>
            <w:vAlign w:val="center"/>
          </w:tcPr>
          <w:p w14:paraId="610AE841">
            <w:pPr>
              <w:spacing w:line="360" w:lineRule="auto"/>
              <w:rPr>
                <w:rFonts w:hint="default" w:ascii="宋体" w:hAnsi="宋体" w:eastAsia="宋体" w:cs="宋体"/>
                <w:lang w:val="en-US" w:eastAsia="zh-CN"/>
              </w:rPr>
            </w:pPr>
            <w:r>
              <w:rPr>
                <w:rFonts w:hint="eastAsia" w:ascii="宋体" w:hAnsi="宋体" w:eastAsia="宋体" w:cs="宋体"/>
                <w:lang w:val="en-US" w:eastAsia="zh-CN"/>
              </w:rPr>
              <w:t>5.4如中标人未按要求及时办理入库手续，每逾期一日采购人有权按未办理入库货物总额的0.05%计收违约金。逾期90个自然日及以上的，采购人有权扣除违反条款结算的全部未入库货物金额及单方面终止合同，中标人应承担相关的违约责任及违约金，并赔偿采购人因此造成的实际经济损失。</w:t>
            </w:r>
          </w:p>
        </w:tc>
      </w:tr>
      <w:tr w14:paraId="39D5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41289883">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7EFC0248">
            <w:pPr>
              <w:spacing w:line="360" w:lineRule="auto"/>
              <w:jc w:val="center"/>
              <w:rPr>
                <w:rFonts w:hint="eastAsia" w:ascii="宋体" w:hAnsi="宋体" w:eastAsia="宋体" w:cs="宋体"/>
                <w:lang w:val="en-US" w:eastAsia="zh-CN"/>
              </w:rPr>
            </w:pPr>
          </w:p>
        </w:tc>
        <w:tc>
          <w:tcPr>
            <w:tcW w:w="6081" w:type="dxa"/>
            <w:noWrap w:val="0"/>
            <w:vAlign w:val="center"/>
          </w:tcPr>
          <w:p w14:paraId="45A48254">
            <w:pPr>
              <w:spacing w:line="360" w:lineRule="auto"/>
              <w:rPr>
                <w:rFonts w:hint="default" w:ascii="宋体" w:hAnsi="宋体" w:eastAsia="宋体" w:cs="宋体"/>
                <w:lang w:val="en-US" w:eastAsia="zh-CN"/>
              </w:rPr>
            </w:pPr>
            <w:r>
              <w:rPr>
                <w:rFonts w:hint="eastAsia" w:ascii="宋体" w:hAnsi="宋体" w:eastAsia="宋体" w:cs="宋体"/>
                <w:lang w:val="en-US" w:eastAsia="zh-CN"/>
              </w:rPr>
              <w:t>5.5如中标人超过五次无理由未按采购人要求提供本项目约定的货物，采购人有权单方面终止合同，中标人应承担相关的违约责任及违约金，并赔偿采购人因此造成的实际经济损失。</w:t>
            </w:r>
          </w:p>
        </w:tc>
      </w:tr>
      <w:tr w14:paraId="533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4" w:type="dxa"/>
            <w:vMerge w:val="continue"/>
            <w:noWrap w:val="0"/>
            <w:vAlign w:val="center"/>
          </w:tcPr>
          <w:p w14:paraId="5FB607DC">
            <w:pPr>
              <w:spacing w:line="360" w:lineRule="auto"/>
              <w:jc w:val="center"/>
              <w:rPr>
                <w:rFonts w:hint="eastAsia" w:ascii="宋体" w:hAnsi="宋体" w:cs="宋体"/>
                <w:bCs/>
                <w:color w:val="auto"/>
                <w:highlight w:val="none"/>
                <w:lang w:val="en-US" w:eastAsia="zh-CN"/>
              </w:rPr>
            </w:pPr>
          </w:p>
        </w:tc>
        <w:tc>
          <w:tcPr>
            <w:tcW w:w="1457" w:type="dxa"/>
            <w:vMerge w:val="continue"/>
            <w:noWrap w:val="0"/>
            <w:vAlign w:val="center"/>
          </w:tcPr>
          <w:p w14:paraId="586206D5">
            <w:pPr>
              <w:spacing w:line="360" w:lineRule="auto"/>
              <w:jc w:val="center"/>
              <w:rPr>
                <w:rFonts w:hint="eastAsia" w:ascii="宋体" w:hAnsi="宋体" w:eastAsia="宋体" w:cs="宋体"/>
                <w:lang w:val="en-US" w:eastAsia="zh-CN"/>
              </w:rPr>
            </w:pPr>
          </w:p>
        </w:tc>
        <w:tc>
          <w:tcPr>
            <w:tcW w:w="6081" w:type="dxa"/>
            <w:noWrap w:val="0"/>
            <w:vAlign w:val="center"/>
          </w:tcPr>
          <w:p w14:paraId="45F8CF6F">
            <w:pPr>
              <w:spacing w:line="360" w:lineRule="auto"/>
              <w:rPr>
                <w:rFonts w:hint="eastAsia" w:ascii="宋体" w:hAnsi="宋体" w:eastAsia="宋体" w:cs="宋体"/>
                <w:lang w:val="en-US" w:eastAsia="zh-CN"/>
              </w:rPr>
            </w:pPr>
            <w:r>
              <w:rPr>
                <w:rFonts w:hint="eastAsia" w:ascii="宋体" w:hAnsi="宋体" w:eastAsia="宋体" w:cs="宋体"/>
                <w:lang w:val="en-US" w:eastAsia="zh-CN"/>
              </w:rPr>
              <w:t>5.6中标人怠于履行售后服务的，每次中标人应按次向采购人支付货款总额10%的违约金，违约金不足以弥补采购人损失的，中标人还应赔偿。逾期达15日，采购人有权另请第三方代为维修或更换，由此产生的费用均由中标人承担。</w:t>
            </w:r>
          </w:p>
        </w:tc>
      </w:tr>
    </w:tbl>
    <w:p w14:paraId="6039089B">
      <w:pPr>
        <w:adjustRightInd w:val="0"/>
        <w:snapToGrid w:val="0"/>
        <w:spacing w:line="360" w:lineRule="auto"/>
        <w:jc w:val="left"/>
        <w:rPr>
          <w:rFonts w:hint="eastAsia" w:ascii="仿宋_GB2312" w:hAnsi="仿宋_GB2312" w:eastAsia="仿宋_GB2312" w:cs="仿宋_GB2312"/>
          <w:b/>
          <w:bCs/>
          <w:snapToGrid w:val="0"/>
          <w:kern w:val="0"/>
          <w:sz w:val="28"/>
          <w:szCs w:val="32"/>
          <w:highlight w:val="cyan"/>
          <w:lang w:val="en-US" w:eastAsia="zh-CN"/>
        </w:rPr>
      </w:pPr>
    </w:p>
    <w:p w14:paraId="53FBE60E">
      <w:pPr>
        <w:numPr>
          <w:ilvl w:val="0"/>
          <w:numId w:val="0"/>
        </w:numPr>
        <w:adjustRightInd w:val="0"/>
        <w:snapToGrid w:val="0"/>
        <w:spacing w:line="360" w:lineRule="auto"/>
        <w:ind w:leftChars="0"/>
        <w:jc w:val="left"/>
        <w:rPr>
          <w:rFonts w:hint="eastAsia"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二、报价要求：</w:t>
      </w:r>
    </w:p>
    <w:p w14:paraId="290EA4B6">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（1）本项目报价为综合折扣报价。综合折扣=报价/本项目基准价。投标供应商应根据本企业的成本自行决定报价，但不得以低于其成本的报价竞标。</w:t>
      </w:r>
    </w:p>
    <w:p w14:paraId="2C2F3647">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以“分类项目清单”中“备注（基准价）”列中金额作为基准价。</w:t>
      </w:r>
    </w:p>
    <w:p w14:paraId="2A4EA165">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（2）“综合折扣”填写要求：</w:t>
      </w:r>
    </w:p>
    <w:p w14:paraId="27B963BF">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1）填写要求：0＜综合折扣≤1，未按此要求填写将作投标无效处理；</w:t>
      </w:r>
    </w:p>
    <w:p w14:paraId="27907AA5">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2）填写的“综合折扣”应为小数，且最多保留小数点后两位，如0.95、0.80、0.78，未按此要求填写将作投标无效处理；</w:t>
      </w:r>
    </w:p>
    <w:p w14:paraId="2EA34DAA">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3）投标人参与投标只允许填报唯一1个“综合折扣”，不允许填报2个（或以上）的“综合折扣”；填报了2个或以上“综合折扣”的，其</w:t>
      </w:r>
      <w:r>
        <w:rPr>
          <w:rFonts w:hint="eastAsia" w:ascii="宋体" w:hAnsi="宋体" w:cs="宋体"/>
          <w:lang w:val="en-US" w:eastAsia="zh-CN"/>
        </w:rPr>
        <w:t>投标</w:t>
      </w:r>
      <w:r>
        <w:rPr>
          <w:rFonts w:hint="eastAsia" w:ascii="宋体" w:hAnsi="宋体" w:eastAsia="宋体" w:cs="宋体"/>
          <w:lang w:val="en-US" w:eastAsia="zh-CN"/>
        </w:rPr>
        <w:t>将直接作</w:t>
      </w:r>
      <w:r>
        <w:rPr>
          <w:rFonts w:hint="eastAsia" w:ascii="宋体" w:hAnsi="宋体" w:cs="宋体"/>
          <w:lang w:val="en-US" w:eastAsia="zh-CN"/>
        </w:rPr>
        <w:t>投标</w:t>
      </w:r>
      <w:r>
        <w:rPr>
          <w:rFonts w:hint="eastAsia" w:ascii="宋体" w:hAnsi="宋体" w:eastAsia="宋体" w:cs="宋体"/>
          <w:lang w:val="en-US" w:eastAsia="zh-CN"/>
        </w:rPr>
        <w:t>无效处理；</w:t>
      </w:r>
    </w:p>
    <w:p w14:paraId="403D6123">
      <w:pPr>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 “综合折扣”缺填、漏填、错填将直接作投标无效处理。</w:t>
      </w:r>
    </w:p>
    <w:p w14:paraId="5AD4E18C">
      <w:pPr>
        <w:numPr>
          <w:ilvl w:val="0"/>
          <w:numId w:val="0"/>
        </w:numPr>
        <w:adjustRightInd w:val="0"/>
        <w:snapToGrid w:val="0"/>
        <w:spacing w:line="360" w:lineRule="auto"/>
        <w:ind w:leftChars="0"/>
        <w:jc w:val="left"/>
        <w:rPr>
          <w:rFonts w:hint="default" w:ascii="仿宋_GB2312" w:hAnsi="仿宋_GB2312" w:eastAsia="仿宋_GB2312" w:cs="仿宋_GB2312"/>
          <w:b/>
          <w:bCs/>
          <w:snapToGrid w:val="0"/>
          <w:kern w:val="0"/>
          <w:sz w:val="28"/>
          <w:szCs w:val="32"/>
          <w:highlight w:val="none"/>
          <w:lang w:val="en-US" w:eastAsia="zh-CN"/>
        </w:rPr>
      </w:pPr>
      <w:r>
        <w:rPr>
          <w:rFonts w:hint="eastAsia" w:ascii="仿宋_GB2312" w:hAnsi="仿宋_GB2312" w:eastAsia="仿宋_GB2312" w:cs="仿宋_GB2312"/>
          <w:b/>
          <w:bCs/>
          <w:snapToGrid w:val="0"/>
          <w:kern w:val="0"/>
          <w:sz w:val="28"/>
          <w:szCs w:val="32"/>
          <w:highlight w:val="none"/>
          <w:lang w:val="en-US" w:eastAsia="zh-CN"/>
        </w:rPr>
        <w:t>三、其他要求：</w:t>
      </w:r>
    </w:p>
    <w:p w14:paraId="29A7AA43">
      <w:pPr>
        <w:spacing w:line="360" w:lineRule="auto"/>
        <w:ind w:firstLine="420" w:firstLineChars="200"/>
        <w:rPr>
          <w:rFonts w:hint="eastAsia" w:ascii="宋体" w:hAnsi="宋体" w:cs="宋体"/>
          <w:lang w:val="en-US" w:eastAsia="zh-CN"/>
        </w:rPr>
      </w:pPr>
      <w:r>
        <w:rPr>
          <w:rFonts w:hint="eastAsia" w:ascii="宋体" w:hAnsi="宋体" w:eastAsia="宋体" w:cs="宋体"/>
          <w:lang w:val="en-US" w:eastAsia="zh-CN"/>
        </w:rPr>
        <w:t>本次采购</w:t>
      </w:r>
      <w:r>
        <w:rPr>
          <w:rFonts w:hint="eastAsia" w:ascii="宋体" w:hAnsi="宋体" w:cs="宋体"/>
          <w:lang w:val="en-US" w:eastAsia="zh-CN"/>
        </w:rPr>
        <w:t>项目</w:t>
      </w:r>
      <w:r>
        <w:rPr>
          <w:rFonts w:hint="eastAsia" w:ascii="宋体" w:hAnsi="宋体" w:eastAsia="宋体" w:cs="宋体"/>
          <w:lang w:val="en-US" w:eastAsia="zh-CN"/>
        </w:rPr>
        <w:t>为招单价限总价，总</w:t>
      </w:r>
      <w:r>
        <w:rPr>
          <w:rFonts w:hint="eastAsia" w:ascii="宋体" w:hAnsi="宋体" w:cs="宋体"/>
          <w:lang w:val="en-US" w:eastAsia="zh-CN"/>
        </w:rPr>
        <w:t>采购</w:t>
      </w:r>
      <w:r>
        <w:rPr>
          <w:rFonts w:hint="eastAsia" w:ascii="宋体" w:hAnsi="宋体" w:eastAsia="宋体" w:cs="宋体"/>
          <w:lang w:val="en-US" w:eastAsia="zh-CN"/>
        </w:rPr>
        <w:t>预算不超过48000元</w:t>
      </w:r>
      <w:r>
        <w:rPr>
          <w:rFonts w:hint="eastAsia" w:ascii="宋体" w:hAnsi="宋体" w:cs="宋体"/>
          <w:lang w:val="en-US" w:eastAsia="zh-CN"/>
        </w:rPr>
        <w:t>。</w:t>
      </w:r>
    </w:p>
    <w:p w14:paraId="27412DCA">
      <w:pPr>
        <w:spacing w:line="360" w:lineRule="auto"/>
        <w:rPr>
          <w:rFonts w:hint="eastAsia" w:ascii="宋体" w:hAnsi="宋体" w:cs="宋体"/>
          <w:lang w:val="en-US" w:eastAsia="zh-CN"/>
        </w:rPr>
      </w:pPr>
    </w:p>
    <w:p w14:paraId="797314CF">
      <w:pPr>
        <w:spacing w:line="360" w:lineRule="auto"/>
        <w:rPr>
          <w:rFonts w:hint="eastAsia" w:ascii="宋体" w:hAnsi="宋体" w:cs="宋体"/>
          <w:lang w:val="en-US" w:eastAsia="zh-C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6CD885AB">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numPr>
          <w:ilvl w:val="0"/>
          <w:numId w:val="5"/>
        </w:numPr>
        <w:adjustRightInd w:val="0"/>
        <w:snapToGrid w:val="0"/>
        <w:spacing w:line="360" w:lineRule="auto"/>
        <w:ind w:left="0" w:leftChars="0" w:firstLine="0" w:firstLineChars="0"/>
        <w:jc w:val="center"/>
        <w:rPr>
          <w:rFonts w:hint="eastAsia" w:ascii="宋体" w:hAnsi="宋体"/>
          <w:b/>
          <w:sz w:val="36"/>
          <w:szCs w:val="30"/>
        </w:rPr>
      </w:pPr>
      <w:r>
        <w:rPr>
          <w:rFonts w:hint="eastAsia" w:ascii="宋体" w:hAnsi="宋体"/>
          <w:b/>
          <w:sz w:val="36"/>
          <w:szCs w:val="30"/>
        </w:rPr>
        <w:t>询价采购报价表</w:t>
      </w:r>
    </w:p>
    <w:tbl>
      <w:tblPr>
        <w:tblStyle w:val="37"/>
        <w:tblW w:w="5383"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769"/>
        <w:gridCol w:w="3002"/>
        <w:gridCol w:w="1166"/>
        <w:gridCol w:w="1664"/>
        <w:gridCol w:w="1187"/>
      </w:tblGrid>
      <w:tr w14:paraId="663B8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27"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hint="default" w:ascii="宋体" w:hAnsi="宋体" w:eastAsia="宋体"/>
                <w:b/>
                <w:bCs/>
                <w:snapToGrid w:val="0"/>
                <w:kern w:val="0"/>
                <w:sz w:val="24"/>
                <w:lang w:val="en-US" w:eastAsia="zh-CN"/>
              </w:rPr>
            </w:pPr>
            <w:r>
              <w:rPr>
                <w:rFonts w:hint="default" w:ascii="宋体" w:hAnsi="宋体" w:eastAsia="宋体"/>
                <w:b/>
                <w:bCs/>
                <w:snapToGrid w:val="0"/>
                <w:kern w:val="0"/>
                <w:sz w:val="24"/>
                <w:lang w:val="en-US" w:eastAsia="zh-CN"/>
              </w:rPr>
              <w:t>分类项目清单</w:t>
            </w:r>
          </w:p>
        </w:tc>
        <w:tc>
          <w:tcPr>
            <w:tcW w:w="157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规格</w:t>
            </w:r>
          </w:p>
        </w:tc>
        <w:tc>
          <w:tcPr>
            <w:tcW w:w="611" w:type="pct"/>
            <w:tcBorders>
              <w:top w:val="double" w:color="auto" w:sz="4" w:space="0"/>
              <w:bottom w:val="single" w:color="auto" w:sz="4" w:space="0"/>
            </w:tcBorders>
            <w:shd w:val="clear" w:color="auto" w:fill="FFFFFF"/>
            <w:vAlign w:val="center"/>
          </w:tcPr>
          <w:p w14:paraId="53F8686F">
            <w:pPr>
              <w:adjustRightInd w:val="0"/>
              <w:snapToGrid w:val="0"/>
              <w:spacing w:line="360" w:lineRule="auto"/>
              <w:ind w:firstLine="120" w:firstLineChars="50"/>
              <w:jc w:val="center"/>
              <w:rPr>
                <w:rFonts w:hint="eastAsia" w:ascii="宋体" w:hAnsi="宋体" w:eastAsia="宋体"/>
                <w:b/>
                <w:bCs/>
                <w:snapToGrid w:val="0"/>
                <w:kern w:val="0"/>
                <w:sz w:val="24"/>
                <w:lang w:eastAsia="zh-CN"/>
              </w:rPr>
            </w:pPr>
            <w:r>
              <w:rPr>
                <w:rFonts w:hint="eastAsia" w:ascii="宋体" w:hAnsi="宋体"/>
                <w:b/>
                <w:bCs/>
                <w:snapToGrid w:val="0"/>
                <w:kern w:val="0"/>
                <w:sz w:val="24"/>
              </w:rPr>
              <w:t>单位</w:t>
            </w:r>
          </w:p>
        </w:tc>
        <w:tc>
          <w:tcPr>
            <w:tcW w:w="871" w:type="pct"/>
            <w:tcBorders>
              <w:top w:val="double" w:color="auto" w:sz="4" w:space="0"/>
              <w:bottom w:val="single" w:color="auto" w:sz="4" w:space="0"/>
            </w:tcBorders>
            <w:shd w:val="clear" w:color="auto" w:fill="FFFFFF"/>
            <w:vAlign w:val="center"/>
          </w:tcPr>
          <w:p w14:paraId="66C4363D">
            <w:pPr>
              <w:keepNext w:val="0"/>
              <w:keepLines w:val="0"/>
              <w:widowControl/>
              <w:suppressLineNumbers w:val="0"/>
              <w:jc w:val="center"/>
              <w:textAlignment w:val="center"/>
              <w:rPr>
                <w:rFonts w:hint="eastAsia" w:ascii="宋体" w:hAnsi="宋体" w:eastAsia="宋体"/>
                <w:b/>
                <w:bCs/>
                <w:snapToGrid w:val="0"/>
                <w:kern w:val="0"/>
                <w:sz w:val="24"/>
                <w:lang w:eastAsia="zh-CN"/>
              </w:rPr>
            </w:pPr>
            <w:r>
              <w:rPr>
                <w:rFonts w:hint="eastAsia" w:ascii="宋体" w:hAnsi="宋体" w:eastAsia="宋体" w:cs="宋体"/>
                <w:b/>
                <w:color w:val="auto"/>
                <w:sz w:val="21"/>
                <w:szCs w:val="21"/>
                <w:highlight w:val="none"/>
                <w:lang w:val="en-US" w:eastAsia="zh-CN"/>
              </w:rPr>
              <w:t>最高限价</w:t>
            </w:r>
            <w:r>
              <w:rPr>
                <w:rFonts w:hint="eastAsia" w:ascii="宋体" w:hAnsi="宋体" w:eastAsia="宋体" w:cs="宋体"/>
                <w:b/>
                <w:bCs/>
                <w:i w:val="0"/>
                <w:iCs w:val="0"/>
                <w:color w:val="000000"/>
                <w:kern w:val="0"/>
                <w:sz w:val="22"/>
                <w:szCs w:val="22"/>
                <w:u w:val="none"/>
                <w:lang w:val="en-US" w:eastAsia="zh-CN" w:bidi="ar"/>
              </w:rPr>
              <w:t>（元）（基准价）</w:t>
            </w:r>
          </w:p>
        </w:tc>
        <w:tc>
          <w:tcPr>
            <w:tcW w:w="622" w:type="pct"/>
            <w:tcBorders>
              <w:top w:val="double" w:color="auto" w:sz="4" w:space="0"/>
              <w:bottom w:val="single" w:color="auto" w:sz="4" w:space="0"/>
            </w:tcBorders>
            <w:shd w:val="clear" w:color="auto" w:fill="FFFFFF"/>
            <w:vAlign w:val="center"/>
          </w:tcPr>
          <w:p w14:paraId="57320BA4">
            <w:pPr>
              <w:keepNext w:val="0"/>
              <w:keepLines w:val="0"/>
              <w:widowControl/>
              <w:suppressLineNumbers w:val="0"/>
              <w:jc w:val="center"/>
              <w:textAlignment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2CE3EF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top w:val="single" w:color="auto" w:sz="4" w:space="0"/>
            </w:tcBorders>
            <w:vAlign w:val="center"/>
          </w:tcPr>
          <w:p w14:paraId="15165AEF">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w:t>
            </w:r>
          </w:p>
        </w:tc>
        <w:tc>
          <w:tcPr>
            <w:tcW w:w="927" w:type="pct"/>
            <w:tcBorders>
              <w:top w:val="single" w:color="auto" w:sz="4" w:space="0"/>
            </w:tcBorders>
            <w:vAlign w:val="center"/>
          </w:tcPr>
          <w:p w14:paraId="3440D226">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5L方形利器盒</w:t>
            </w:r>
          </w:p>
        </w:tc>
        <w:tc>
          <w:tcPr>
            <w:tcW w:w="1573" w:type="pct"/>
            <w:tcBorders>
              <w:top w:val="single" w:color="auto" w:sz="4" w:space="0"/>
            </w:tcBorders>
            <w:vAlign w:val="center"/>
          </w:tcPr>
          <w:p w14:paraId="610820F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5L方形，推盖，245×200×150mm（均接受偏离±5mm）</w:t>
            </w:r>
          </w:p>
        </w:tc>
        <w:tc>
          <w:tcPr>
            <w:tcW w:w="611" w:type="pct"/>
            <w:tcBorders>
              <w:top w:val="single" w:color="auto" w:sz="4" w:space="0"/>
            </w:tcBorders>
            <w:vAlign w:val="center"/>
          </w:tcPr>
          <w:p w14:paraId="464AA34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个</w:t>
            </w:r>
          </w:p>
        </w:tc>
        <w:tc>
          <w:tcPr>
            <w:tcW w:w="871" w:type="pct"/>
            <w:tcBorders>
              <w:top w:val="single" w:color="auto" w:sz="4" w:space="0"/>
            </w:tcBorders>
            <w:vAlign w:val="center"/>
          </w:tcPr>
          <w:p w14:paraId="30685836">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tcBorders>
              <w:top w:val="single" w:color="auto" w:sz="4" w:space="0"/>
            </w:tcBorders>
            <w:vAlign w:val="center"/>
          </w:tcPr>
          <w:p w14:paraId="1D8B9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24C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vAlign w:val="center"/>
          </w:tcPr>
          <w:p w14:paraId="7A4AE4E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927" w:type="pct"/>
            <w:vAlign w:val="center"/>
          </w:tcPr>
          <w:p w14:paraId="3636EC23">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8L方形利器盒</w:t>
            </w:r>
          </w:p>
        </w:tc>
        <w:tc>
          <w:tcPr>
            <w:tcW w:w="1573" w:type="pct"/>
            <w:vAlign w:val="center"/>
          </w:tcPr>
          <w:p w14:paraId="3E6871F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8L方形，卧式推盖，带提手，300×210×160mm（均接受偏离±5mm）</w:t>
            </w:r>
          </w:p>
        </w:tc>
        <w:tc>
          <w:tcPr>
            <w:tcW w:w="611" w:type="pct"/>
            <w:vAlign w:val="center"/>
          </w:tcPr>
          <w:p w14:paraId="76FC835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0319B78F">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w:t>
            </w:r>
          </w:p>
        </w:tc>
        <w:tc>
          <w:tcPr>
            <w:tcW w:w="622" w:type="pct"/>
            <w:vAlign w:val="center"/>
          </w:tcPr>
          <w:p w14:paraId="7C1CA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03A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915DB12">
            <w:pPr>
              <w:keepNext w:val="0"/>
              <w:keepLines w:val="0"/>
              <w:widowControl/>
              <w:suppressLineNumbers w:val="0"/>
              <w:jc w:val="center"/>
              <w:textAlignment w:val="center"/>
              <w:rPr>
                <w:rFonts w:hint="eastAsia" w:ascii="宋体" w:hAnsi="宋体" w:eastAsia="宋体"/>
                <w:bCs/>
                <w:snapToGrid w:val="0"/>
                <w:kern w:val="0"/>
                <w:sz w:val="24"/>
                <w:lang w:eastAsia="zh-CN"/>
              </w:rPr>
            </w:pPr>
            <w:r>
              <w:rPr>
                <w:rFonts w:hint="eastAsia" w:ascii="宋体" w:hAnsi="宋体" w:eastAsia="宋体" w:cs="宋体"/>
                <w:i w:val="0"/>
                <w:iCs w:val="0"/>
                <w:color w:val="000000"/>
                <w:kern w:val="0"/>
                <w:sz w:val="21"/>
                <w:szCs w:val="21"/>
                <w:u w:val="none"/>
                <w:lang w:val="en-US" w:eastAsia="zh-CN" w:bidi="ar"/>
              </w:rPr>
              <w:t>3</w:t>
            </w:r>
          </w:p>
        </w:tc>
        <w:tc>
          <w:tcPr>
            <w:tcW w:w="927" w:type="pct"/>
            <w:tcBorders>
              <w:bottom w:val="single" w:color="auto" w:sz="4" w:space="0"/>
            </w:tcBorders>
            <w:vAlign w:val="center"/>
          </w:tcPr>
          <w:p w14:paraId="2E747E6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10L方形利器盒（加厚）</w:t>
            </w:r>
          </w:p>
        </w:tc>
        <w:tc>
          <w:tcPr>
            <w:tcW w:w="1573" w:type="pct"/>
            <w:vAlign w:val="center"/>
          </w:tcPr>
          <w:p w14:paraId="47395228">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10L方形，竖式推盖，245×195×275mm（均接受偏离±5mm）</w:t>
            </w:r>
          </w:p>
        </w:tc>
        <w:tc>
          <w:tcPr>
            <w:tcW w:w="611" w:type="pct"/>
            <w:vAlign w:val="center"/>
          </w:tcPr>
          <w:p w14:paraId="0A70428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689F38E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5</w:t>
            </w:r>
          </w:p>
        </w:tc>
        <w:tc>
          <w:tcPr>
            <w:tcW w:w="622" w:type="pct"/>
            <w:vAlign w:val="center"/>
          </w:tcPr>
          <w:p w14:paraId="7FEBE2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219B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2C38E49D">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27" w:type="pct"/>
            <w:tcBorders>
              <w:bottom w:val="single" w:color="auto" w:sz="4" w:space="0"/>
            </w:tcBorders>
            <w:vAlign w:val="center"/>
          </w:tcPr>
          <w:p w14:paraId="7D2B23A5">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8L圆形利器盒</w:t>
            </w:r>
          </w:p>
        </w:tc>
        <w:tc>
          <w:tcPr>
            <w:tcW w:w="1573" w:type="pct"/>
            <w:vAlign w:val="center"/>
          </w:tcPr>
          <w:p w14:paraId="1A5AC4B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8L圆形，旋转盖，Φ215×230mm（均接受偏离±5mm</w:t>
            </w:r>
          </w:p>
        </w:tc>
        <w:tc>
          <w:tcPr>
            <w:tcW w:w="611" w:type="pct"/>
            <w:vAlign w:val="center"/>
          </w:tcPr>
          <w:p w14:paraId="084DDB91">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79FA96CC">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vAlign w:val="center"/>
          </w:tcPr>
          <w:p w14:paraId="750B5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95D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7D718CE">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927" w:type="pct"/>
            <w:tcBorders>
              <w:bottom w:val="single" w:color="auto" w:sz="4" w:space="0"/>
            </w:tcBorders>
            <w:vAlign w:val="center"/>
          </w:tcPr>
          <w:p w14:paraId="5A8CB80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6L圆形利器盒</w:t>
            </w:r>
          </w:p>
        </w:tc>
        <w:tc>
          <w:tcPr>
            <w:tcW w:w="1573" w:type="pct"/>
            <w:vAlign w:val="center"/>
          </w:tcPr>
          <w:p w14:paraId="7322EA33">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6L圆形，翻盖，φ210×210mm（均接受偏离±5mm）</w:t>
            </w:r>
          </w:p>
        </w:tc>
        <w:tc>
          <w:tcPr>
            <w:tcW w:w="611" w:type="pct"/>
            <w:vAlign w:val="center"/>
          </w:tcPr>
          <w:p w14:paraId="2E1E7FC5">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162EAE6A">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w:t>
            </w:r>
          </w:p>
        </w:tc>
        <w:tc>
          <w:tcPr>
            <w:tcW w:w="622" w:type="pct"/>
            <w:vAlign w:val="center"/>
          </w:tcPr>
          <w:p w14:paraId="150D59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B92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3CE18F66">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27" w:type="pct"/>
            <w:tcBorders>
              <w:bottom w:val="single" w:color="auto" w:sz="4" w:space="0"/>
            </w:tcBorders>
            <w:vAlign w:val="center"/>
          </w:tcPr>
          <w:p w14:paraId="4FE3DB6B">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4L圆形利器盒</w:t>
            </w:r>
          </w:p>
        </w:tc>
        <w:tc>
          <w:tcPr>
            <w:tcW w:w="1573" w:type="pct"/>
            <w:vAlign w:val="center"/>
          </w:tcPr>
          <w:p w14:paraId="2ADAD7A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4L圆形，翻盖，φ175×185mm（均接受偏离±5mm）</w:t>
            </w:r>
          </w:p>
        </w:tc>
        <w:tc>
          <w:tcPr>
            <w:tcW w:w="611" w:type="pct"/>
            <w:vAlign w:val="center"/>
          </w:tcPr>
          <w:p w14:paraId="0C58ADF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2DFC295B">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1DD4C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A7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12B1F1D0">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927" w:type="pct"/>
            <w:tcBorders>
              <w:bottom w:val="single" w:color="auto" w:sz="4" w:space="0"/>
            </w:tcBorders>
            <w:vAlign w:val="center"/>
          </w:tcPr>
          <w:p w14:paraId="0A99C7A8">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3L圆形利器盒</w:t>
            </w:r>
          </w:p>
        </w:tc>
        <w:tc>
          <w:tcPr>
            <w:tcW w:w="1573" w:type="pct"/>
            <w:vAlign w:val="center"/>
          </w:tcPr>
          <w:p w14:paraId="632C17D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3L圆形，翻盖，Φ165×175mm（均接受偏离±5mm）</w:t>
            </w:r>
          </w:p>
        </w:tc>
        <w:tc>
          <w:tcPr>
            <w:tcW w:w="611" w:type="pct"/>
            <w:vAlign w:val="center"/>
          </w:tcPr>
          <w:p w14:paraId="3C84B15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52684707">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49414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B7D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36CF7356">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927" w:type="pct"/>
            <w:tcBorders>
              <w:bottom w:val="single" w:color="auto" w:sz="4" w:space="0"/>
            </w:tcBorders>
            <w:vAlign w:val="center"/>
          </w:tcPr>
          <w:p w14:paraId="0D10D630">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2L圆形利器盒</w:t>
            </w:r>
          </w:p>
        </w:tc>
        <w:tc>
          <w:tcPr>
            <w:tcW w:w="1573" w:type="pct"/>
            <w:vAlign w:val="center"/>
          </w:tcPr>
          <w:p w14:paraId="3792E414">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2L圆形，翻盖，φ135×145mm（均接受偏离±5mm）</w:t>
            </w:r>
          </w:p>
        </w:tc>
        <w:tc>
          <w:tcPr>
            <w:tcW w:w="611" w:type="pct"/>
            <w:vAlign w:val="center"/>
          </w:tcPr>
          <w:p w14:paraId="3CD676F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4AD4B061">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2</w:t>
            </w:r>
          </w:p>
        </w:tc>
        <w:tc>
          <w:tcPr>
            <w:tcW w:w="622" w:type="pct"/>
            <w:vAlign w:val="center"/>
          </w:tcPr>
          <w:p w14:paraId="6CC0B6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F36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93" w:type="pct"/>
            <w:tcBorders>
              <w:bottom w:val="single" w:color="auto" w:sz="4" w:space="0"/>
            </w:tcBorders>
            <w:vAlign w:val="center"/>
          </w:tcPr>
          <w:p w14:paraId="6D72E171">
            <w:pPr>
              <w:keepNext w:val="0"/>
              <w:keepLines w:val="0"/>
              <w:widowControl/>
              <w:suppressLineNumbers w:val="0"/>
              <w:jc w:val="center"/>
              <w:textAlignment w:val="center"/>
              <w:rPr>
                <w:rFonts w:hint="eastAsia" w:ascii="宋体" w:hAnsi="宋体"/>
                <w:bCs/>
                <w:snapToGrid w:val="0"/>
                <w:kern w:val="0"/>
                <w:sz w:val="24"/>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927" w:type="pct"/>
            <w:tcBorders>
              <w:bottom w:val="single" w:color="auto" w:sz="4" w:space="0"/>
            </w:tcBorders>
            <w:vAlign w:val="center"/>
          </w:tcPr>
          <w:p w14:paraId="6D0A6B32">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1L圆形利器盒</w:t>
            </w:r>
          </w:p>
        </w:tc>
        <w:tc>
          <w:tcPr>
            <w:tcW w:w="1573" w:type="pct"/>
            <w:vAlign w:val="center"/>
          </w:tcPr>
          <w:p w14:paraId="633DF337">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1L圆形，凸形旋转盖，φ115×125mm（均接受偏离±5mm）</w:t>
            </w:r>
          </w:p>
        </w:tc>
        <w:tc>
          <w:tcPr>
            <w:tcW w:w="611" w:type="pct"/>
            <w:vAlign w:val="center"/>
          </w:tcPr>
          <w:p w14:paraId="09E590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个</w:t>
            </w:r>
          </w:p>
        </w:tc>
        <w:tc>
          <w:tcPr>
            <w:tcW w:w="871" w:type="pct"/>
            <w:vAlign w:val="center"/>
          </w:tcPr>
          <w:p w14:paraId="68C516A9">
            <w:pPr>
              <w:keepNext w:val="0"/>
              <w:keepLines w:val="0"/>
              <w:widowControl/>
              <w:suppressLineNumbers w:val="0"/>
              <w:jc w:val="center"/>
              <w:textAlignment w:val="center"/>
              <w:rPr>
                <w:rFonts w:ascii="宋体" w:hAnsi="宋体"/>
                <w:bCs/>
                <w:snapToGrid w:val="0"/>
                <w:kern w:val="0"/>
                <w:sz w:val="24"/>
              </w:rPr>
            </w:pPr>
            <w:r>
              <w:rPr>
                <w:rFonts w:hint="eastAsia" w:ascii="宋体" w:hAnsi="宋体" w:eastAsia="宋体" w:cs="宋体"/>
                <w:i w:val="0"/>
                <w:iCs w:val="0"/>
                <w:color w:val="000000"/>
                <w:kern w:val="0"/>
                <w:sz w:val="21"/>
                <w:szCs w:val="21"/>
                <w:u w:val="none"/>
                <w:lang w:val="en-US" w:eastAsia="zh-CN" w:bidi="ar"/>
              </w:rPr>
              <w:t>1</w:t>
            </w:r>
          </w:p>
        </w:tc>
        <w:tc>
          <w:tcPr>
            <w:tcW w:w="622" w:type="pct"/>
            <w:vAlign w:val="center"/>
          </w:tcPr>
          <w:p w14:paraId="3860C7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9D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折扣率</w:t>
            </w:r>
          </w:p>
        </w:tc>
        <w:tc>
          <w:tcPr>
            <w:tcW w:w="3056" w:type="pct"/>
            <w:gridSpan w:val="3"/>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c>
          <w:tcPr>
            <w:tcW w:w="622" w:type="pct"/>
            <w:tcBorders>
              <w:top w:val="single" w:color="auto" w:sz="4" w:space="0"/>
              <w:bottom w:val="single" w:color="auto" w:sz="4" w:space="0"/>
            </w:tcBorders>
            <w:vAlign w:val="center"/>
          </w:tcPr>
          <w:p w14:paraId="1BE36E52">
            <w:pPr>
              <w:adjustRightInd w:val="0"/>
              <w:snapToGrid w:val="0"/>
              <w:spacing w:line="360" w:lineRule="auto"/>
              <w:jc w:val="center"/>
              <w:rPr>
                <w:rFonts w:ascii="宋体" w:hAnsi="宋体"/>
                <w:bCs/>
                <w:snapToGrid w:val="0"/>
                <w:kern w:val="0"/>
                <w:sz w:val="24"/>
              </w:rPr>
            </w:pPr>
          </w:p>
        </w:tc>
      </w:tr>
      <w:tr w14:paraId="541A4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2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056" w:type="pct"/>
            <w:gridSpan w:val="3"/>
            <w:tcBorders>
              <w:top w:val="single" w:color="auto" w:sz="4" w:space="0"/>
              <w:bottom w:val="double" w:color="auto" w:sz="4" w:space="0"/>
            </w:tcBorders>
            <w:vAlign w:val="center"/>
          </w:tcPr>
          <w:p w14:paraId="413FE87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c>
          <w:tcPr>
            <w:tcW w:w="622" w:type="pct"/>
            <w:tcBorders>
              <w:top w:val="single" w:color="auto" w:sz="4" w:space="0"/>
              <w:bottom w:val="double" w:color="auto" w:sz="4" w:space="0"/>
            </w:tcBorders>
            <w:vAlign w:val="center"/>
          </w:tcPr>
          <w:p w14:paraId="46836404">
            <w:pPr>
              <w:adjustRightInd w:val="0"/>
              <w:snapToGrid w:val="0"/>
              <w:spacing w:line="360" w:lineRule="auto"/>
              <w:jc w:val="center"/>
              <w:rPr>
                <w:rFonts w:hint="eastAsia" w:ascii="宋体" w:hAnsi="宋体"/>
                <w:bCs/>
                <w:snapToGrid w:val="0"/>
                <w:kern w:val="0"/>
                <w:sz w:val="24"/>
                <w:highlight w:val="cyan"/>
              </w:rPr>
            </w:pPr>
          </w:p>
        </w:tc>
      </w:tr>
    </w:tbl>
    <w:p w14:paraId="175D84A3">
      <w:pPr>
        <w:adjustRightInd w:val="0"/>
        <w:snapToGrid w:val="0"/>
        <w:spacing w:line="360" w:lineRule="auto"/>
        <w:rPr>
          <w:rFonts w:hint="eastAsia" w:ascii="宋体" w:hAnsi="宋体"/>
          <w:b/>
          <w:snapToGrid w:val="0"/>
          <w:kern w:val="0"/>
          <w:sz w:val="24"/>
        </w:rPr>
      </w:pPr>
    </w:p>
    <w:p w14:paraId="0A9FA4DE">
      <w:pPr>
        <w:adjustRightInd w:val="0"/>
        <w:snapToGrid w:val="0"/>
        <w:spacing w:line="360" w:lineRule="auto"/>
        <w:ind w:firstLine="482" w:firstLineChars="200"/>
        <w:rPr>
          <w:rFonts w:ascii="宋体" w:hAnsi="宋体"/>
          <w:b/>
          <w:snapToGrid w:val="0"/>
          <w:kern w:val="0"/>
          <w:sz w:val="24"/>
        </w:rPr>
      </w:pPr>
      <w:r>
        <w:rPr>
          <w:rFonts w:hint="eastAsia" w:ascii="宋体" w:hAnsi="宋体"/>
          <w:b/>
          <w:snapToGrid w:val="0"/>
          <w:kern w:val="0"/>
          <w:sz w:val="24"/>
        </w:rPr>
        <w:t>根据项目需求进行报价</w:t>
      </w:r>
      <w:r>
        <w:rPr>
          <w:rFonts w:hint="eastAsia" w:ascii="宋体" w:hAnsi="宋体"/>
          <w:b/>
          <w:snapToGrid w:val="0"/>
          <w:kern w:val="0"/>
          <w:sz w:val="24"/>
          <w:lang w:eastAsia="zh-CN"/>
        </w:rPr>
        <w:t>（</w:t>
      </w:r>
      <w:r>
        <w:rPr>
          <w:rFonts w:hint="eastAsia" w:ascii="宋体" w:hAnsi="宋体"/>
          <w:b/>
          <w:snapToGrid w:val="0"/>
          <w:kern w:val="0"/>
          <w:sz w:val="24"/>
          <w:lang w:val="en-US" w:eastAsia="zh-CN"/>
        </w:rPr>
        <w:t>折扣率</w:t>
      </w:r>
      <w:r>
        <w:rPr>
          <w:rFonts w:hint="eastAsia" w:ascii="宋体" w:hAnsi="宋体"/>
          <w:b/>
          <w:snapToGrid w:val="0"/>
          <w:kern w:val="0"/>
          <w:sz w:val="24"/>
          <w:lang w:eastAsia="zh-CN"/>
        </w:rPr>
        <w:t>）。</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07559B19">
      <w:pPr>
        <w:adjustRightInd w:val="0"/>
        <w:snapToGrid w:val="0"/>
        <w:spacing w:line="240" w:lineRule="auto"/>
        <w:ind w:left="895" w:leftChars="200" w:hanging="475" w:hangingChars="1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w:t>
      </w:r>
      <w:r>
        <w:rPr>
          <w:rFonts w:hint="eastAsia" w:ascii="宋体" w:hAnsi="宋体"/>
          <w:bCs/>
          <w:snapToGrid w:val="0"/>
          <w:kern w:val="0"/>
          <w:sz w:val="24"/>
          <w:lang w:val="en-US" w:eastAsia="zh-CN"/>
        </w:rPr>
        <w:t>折扣率</w:t>
      </w:r>
      <w:r>
        <w:rPr>
          <w:rFonts w:hint="eastAsia" w:ascii="宋体" w:hAnsi="宋体"/>
          <w:bCs/>
          <w:snapToGrid w:val="0"/>
          <w:kern w:val="0"/>
          <w:sz w:val="24"/>
        </w:rPr>
        <w:t>”填写要求：</w:t>
      </w:r>
    </w:p>
    <w:p w14:paraId="42ACB8E2">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w:t>
      </w:r>
      <w:r>
        <w:rPr>
          <w:rFonts w:hint="eastAsia" w:ascii="宋体" w:hAnsi="宋体"/>
          <w:bCs/>
          <w:snapToGrid w:val="0"/>
          <w:kern w:val="0"/>
          <w:sz w:val="24"/>
          <w:lang w:val="en-US" w:eastAsia="zh-CN"/>
        </w:rPr>
        <w:t>1</w:t>
      </w:r>
      <w:r>
        <w:rPr>
          <w:rFonts w:hint="eastAsia" w:ascii="宋体" w:hAnsi="宋体"/>
          <w:bCs/>
          <w:snapToGrid w:val="0"/>
          <w:kern w:val="0"/>
          <w:sz w:val="24"/>
        </w:rPr>
        <w:t>填写要求：0＜</w:t>
      </w:r>
      <w:r>
        <w:rPr>
          <w:rFonts w:hint="eastAsia" w:ascii="宋体" w:hAnsi="宋体"/>
          <w:bCs/>
          <w:snapToGrid w:val="0"/>
          <w:kern w:val="0"/>
          <w:sz w:val="24"/>
          <w:lang w:val="en-US" w:eastAsia="zh-CN"/>
        </w:rPr>
        <w:t>折扣率</w:t>
      </w:r>
      <w:r>
        <w:rPr>
          <w:rFonts w:hint="eastAsia" w:ascii="宋体" w:hAnsi="宋体"/>
          <w:bCs/>
          <w:snapToGrid w:val="0"/>
          <w:kern w:val="0"/>
          <w:sz w:val="24"/>
        </w:rPr>
        <w:t>≤1，未按此要求填写将作投标无效处理；</w:t>
      </w:r>
    </w:p>
    <w:p w14:paraId="742C447E">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.2填写的“</w:t>
      </w:r>
      <w:r>
        <w:rPr>
          <w:rFonts w:hint="eastAsia" w:ascii="宋体" w:hAnsi="宋体"/>
          <w:bCs/>
          <w:snapToGrid w:val="0"/>
          <w:kern w:val="0"/>
          <w:sz w:val="24"/>
          <w:lang w:val="en-US" w:eastAsia="zh-CN"/>
        </w:rPr>
        <w:t>折扣率</w:t>
      </w:r>
      <w:r>
        <w:rPr>
          <w:rFonts w:hint="eastAsia" w:ascii="宋体" w:hAnsi="宋体"/>
          <w:bCs/>
          <w:snapToGrid w:val="0"/>
          <w:kern w:val="0"/>
          <w:sz w:val="24"/>
        </w:rPr>
        <w:t>”应为小数，且最多保留小数点后两位；如0.95、0.80、0.78；</w:t>
      </w:r>
    </w:p>
    <w:p w14:paraId="4556D828">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.3</w:t>
      </w:r>
      <w:r>
        <w:rPr>
          <w:rFonts w:hint="eastAsia" w:ascii="宋体" w:hAnsi="宋体"/>
          <w:bCs/>
          <w:snapToGrid w:val="0"/>
          <w:kern w:val="0"/>
          <w:sz w:val="24"/>
          <w:lang w:val="en-US" w:eastAsia="zh-CN"/>
        </w:rPr>
        <w:t>响应供应商</w:t>
      </w:r>
      <w:r>
        <w:rPr>
          <w:rFonts w:hint="eastAsia" w:ascii="宋体" w:hAnsi="宋体"/>
          <w:bCs/>
          <w:snapToGrid w:val="0"/>
          <w:kern w:val="0"/>
          <w:sz w:val="24"/>
        </w:rPr>
        <w:t>参与</w:t>
      </w:r>
      <w:r>
        <w:rPr>
          <w:rFonts w:hint="eastAsia" w:ascii="宋体" w:hAnsi="宋体"/>
          <w:bCs/>
          <w:snapToGrid w:val="0"/>
          <w:kern w:val="0"/>
          <w:sz w:val="24"/>
          <w:lang w:val="en-US" w:eastAsia="zh-CN"/>
        </w:rPr>
        <w:t>询价</w:t>
      </w:r>
      <w:r>
        <w:rPr>
          <w:rFonts w:hint="eastAsia" w:ascii="宋体" w:hAnsi="宋体"/>
          <w:bCs/>
          <w:snapToGrid w:val="0"/>
          <w:kern w:val="0"/>
          <w:sz w:val="24"/>
        </w:rPr>
        <w:t>只允许填报唯一1个“</w:t>
      </w:r>
      <w:r>
        <w:rPr>
          <w:rFonts w:hint="eastAsia" w:ascii="宋体" w:hAnsi="宋体"/>
          <w:bCs/>
          <w:snapToGrid w:val="0"/>
          <w:kern w:val="0"/>
          <w:sz w:val="24"/>
          <w:lang w:val="en-US" w:eastAsia="zh-CN"/>
        </w:rPr>
        <w:t>折扣率</w:t>
      </w:r>
      <w:r>
        <w:rPr>
          <w:rFonts w:hint="eastAsia" w:ascii="宋体" w:hAnsi="宋体"/>
          <w:bCs/>
          <w:snapToGrid w:val="0"/>
          <w:kern w:val="0"/>
          <w:sz w:val="24"/>
        </w:rPr>
        <w:t>”，不允许填报2个（或以上）的“</w:t>
      </w:r>
      <w:r>
        <w:rPr>
          <w:rFonts w:hint="eastAsia" w:ascii="宋体" w:hAnsi="宋体"/>
          <w:bCs/>
          <w:snapToGrid w:val="0"/>
          <w:kern w:val="0"/>
          <w:sz w:val="24"/>
          <w:lang w:val="en-US" w:eastAsia="zh-CN"/>
        </w:rPr>
        <w:t>折扣率</w:t>
      </w:r>
      <w:r>
        <w:rPr>
          <w:rFonts w:hint="eastAsia" w:ascii="宋体" w:hAnsi="宋体"/>
          <w:bCs/>
          <w:snapToGrid w:val="0"/>
          <w:kern w:val="0"/>
          <w:sz w:val="24"/>
        </w:rPr>
        <w:t>”；填报了2个或以上“</w:t>
      </w:r>
      <w:r>
        <w:rPr>
          <w:rFonts w:hint="eastAsia" w:ascii="宋体" w:hAnsi="宋体"/>
          <w:bCs/>
          <w:snapToGrid w:val="0"/>
          <w:kern w:val="0"/>
          <w:sz w:val="24"/>
          <w:lang w:val="en-US" w:eastAsia="zh-CN"/>
        </w:rPr>
        <w:t>折扣率</w:t>
      </w:r>
      <w:r>
        <w:rPr>
          <w:rFonts w:hint="eastAsia" w:ascii="宋体" w:hAnsi="宋体"/>
          <w:bCs/>
          <w:snapToGrid w:val="0"/>
          <w:kern w:val="0"/>
          <w:sz w:val="24"/>
        </w:rPr>
        <w:t>”的，其</w:t>
      </w:r>
      <w:r>
        <w:rPr>
          <w:rFonts w:hint="eastAsia" w:ascii="宋体" w:hAnsi="宋体"/>
          <w:bCs/>
          <w:snapToGrid w:val="0"/>
          <w:kern w:val="0"/>
          <w:sz w:val="24"/>
          <w:lang w:val="en-US" w:eastAsia="zh-CN"/>
        </w:rPr>
        <w:t>投标</w:t>
      </w:r>
      <w:r>
        <w:rPr>
          <w:rFonts w:hint="eastAsia" w:ascii="宋体" w:hAnsi="宋体"/>
          <w:bCs/>
          <w:snapToGrid w:val="0"/>
          <w:kern w:val="0"/>
          <w:sz w:val="24"/>
        </w:rPr>
        <w:t>将直接作</w:t>
      </w:r>
      <w:r>
        <w:rPr>
          <w:rFonts w:hint="eastAsia" w:ascii="宋体" w:hAnsi="宋体"/>
          <w:bCs/>
          <w:snapToGrid w:val="0"/>
          <w:kern w:val="0"/>
          <w:sz w:val="24"/>
          <w:lang w:val="en-US" w:eastAsia="zh-CN"/>
        </w:rPr>
        <w:t>投标</w:t>
      </w:r>
      <w:r>
        <w:rPr>
          <w:rFonts w:hint="eastAsia" w:ascii="宋体" w:hAnsi="宋体"/>
          <w:bCs/>
          <w:snapToGrid w:val="0"/>
          <w:kern w:val="0"/>
          <w:sz w:val="24"/>
        </w:rPr>
        <w:t>无效处理；</w:t>
      </w:r>
    </w:p>
    <w:p w14:paraId="1D81AB38">
      <w:pPr>
        <w:adjustRightInd w:val="0"/>
        <w:snapToGrid w:val="0"/>
        <w:spacing w:line="240" w:lineRule="auto"/>
        <w:ind w:left="894" w:leftChars="314" w:hanging="235" w:hangingChars="98"/>
        <w:rPr>
          <w:rFonts w:hint="eastAsia" w:ascii="宋体" w:hAnsi="宋体"/>
          <w:bCs/>
          <w:snapToGrid w:val="0"/>
          <w:kern w:val="0"/>
          <w:sz w:val="24"/>
        </w:rPr>
      </w:pPr>
      <w:r>
        <w:rPr>
          <w:rFonts w:hint="eastAsia" w:ascii="宋体" w:hAnsi="宋体"/>
          <w:bCs/>
          <w:snapToGrid w:val="0"/>
          <w:kern w:val="0"/>
          <w:sz w:val="24"/>
          <w:lang w:val="en-US" w:eastAsia="zh-CN"/>
        </w:rPr>
        <w:t>1</w:t>
      </w:r>
      <w:r>
        <w:rPr>
          <w:rFonts w:hint="eastAsia" w:ascii="宋体" w:hAnsi="宋体"/>
          <w:bCs/>
          <w:snapToGrid w:val="0"/>
          <w:kern w:val="0"/>
          <w:sz w:val="24"/>
        </w:rPr>
        <w:t>.4 “</w:t>
      </w:r>
      <w:r>
        <w:rPr>
          <w:rFonts w:hint="eastAsia" w:ascii="宋体" w:hAnsi="宋体"/>
          <w:bCs/>
          <w:snapToGrid w:val="0"/>
          <w:kern w:val="0"/>
          <w:sz w:val="24"/>
          <w:lang w:val="en-US" w:eastAsia="zh-CN"/>
        </w:rPr>
        <w:t>折扣率</w:t>
      </w:r>
      <w:r>
        <w:rPr>
          <w:rFonts w:hint="eastAsia" w:ascii="宋体" w:hAnsi="宋体"/>
          <w:bCs/>
          <w:snapToGrid w:val="0"/>
          <w:kern w:val="0"/>
          <w:sz w:val="24"/>
        </w:rPr>
        <w:t>”缺填、漏填将直接作</w:t>
      </w:r>
      <w:r>
        <w:rPr>
          <w:rFonts w:hint="eastAsia" w:ascii="宋体" w:hAnsi="宋体"/>
          <w:bCs/>
          <w:snapToGrid w:val="0"/>
          <w:kern w:val="0"/>
          <w:sz w:val="24"/>
          <w:lang w:val="en-US" w:eastAsia="zh-CN"/>
        </w:rPr>
        <w:t>投标</w:t>
      </w:r>
      <w:r>
        <w:rPr>
          <w:rFonts w:hint="eastAsia" w:ascii="宋体" w:hAnsi="宋体"/>
          <w:bCs/>
          <w:snapToGrid w:val="0"/>
          <w:kern w:val="0"/>
          <w:sz w:val="24"/>
        </w:rPr>
        <w:t>无效处理；</w:t>
      </w:r>
    </w:p>
    <w:p w14:paraId="0CF07B36">
      <w:pPr>
        <w:adjustRightInd w:val="0"/>
        <w:snapToGrid w:val="0"/>
        <w:spacing w:line="240" w:lineRule="auto"/>
        <w:ind w:left="895" w:leftChars="200" w:hanging="475" w:hangingChars="198"/>
        <w:rPr>
          <w:rFonts w:hint="eastAsia" w:ascii="宋体" w:hAnsi="宋体"/>
          <w:bCs/>
          <w:snapToGrid w:val="0"/>
          <w:kern w:val="0"/>
          <w:sz w:val="24"/>
        </w:rPr>
      </w:pPr>
      <w:r>
        <w:rPr>
          <w:rFonts w:hint="eastAsia" w:ascii="宋体" w:hAnsi="宋体"/>
          <w:bCs/>
          <w:snapToGrid w:val="0"/>
          <w:kern w:val="0"/>
          <w:sz w:val="24"/>
          <w:lang w:val="en-US" w:eastAsia="zh-CN"/>
        </w:rPr>
        <w:t>2、</w:t>
      </w:r>
      <w:r>
        <w:rPr>
          <w:rFonts w:hint="eastAsia" w:ascii="宋体" w:hAnsi="宋体"/>
          <w:bCs/>
          <w:snapToGrid w:val="0"/>
          <w:kern w:val="0"/>
          <w:sz w:val="24"/>
        </w:rPr>
        <w:t>以实际下单数量据实结算，结算价格（保留两位小数）=</w:t>
      </w:r>
      <w:r>
        <w:rPr>
          <w:rFonts w:hint="eastAsia" w:ascii="宋体" w:hAnsi="宋体"/>
          <w:bCs/>
          <w:snapToGrid w:val="0"/>
          <w:kern w:val="0"/>
          <w:sz w:val="24"/>
          <w:lang w:val="en-US" w:eastAsia="zh-CN"/>
        </w:rPr>
        <w:t>最高限</w:t>
      </w:r>
      <w:r>
        <w:rPr>
          <w:rFonts w:hint="eastAsia" w:ascii="宋体" w:hAnsi="宋体"/>
          <w:bCs/>
          <w:snapToGrid w:val="0"/>
          <w:kern w:val="0"/>
          <w:sz w:val="24"/>
        </w:rPr>
        <w:t>价×</w:t>
      </w:r>
      <w:r>
        <w:rPr>
          <w:rFonts w:hint="eastAsia" w:ascii="宋体" w:hAnsi="宋体"/>
          <w:bCs/>
          <w:snapToGrid w:val="0"/>
          <w:kern w:val="0"/>
          <w:sz w:val="24"/>
          <w:lang w:val="en-US" w:eastAsia="zh-CN"/>
        </w:rPr>
        <w:t>成交</w:t>
      </w:r>
      <w:r>
        <w:rPr>
          <w:rFonts w:hint="eastAsia" w:ascii="宋体" w:hAnsi="宋体"/>
          <w:bCs/>
          <w:snapToGrid w:val="0"/>
          <w:kern w:val="0"/>
          <w:sz w:val="24"/>
        </w:rPr>
        <w:t>折扣</w:t>
      </w:r>
      <w:r>
        <w:rPr>
          <w:rFonts w:hint="eastAsia" w:ascii="宋体" w:hAnsi="宋体"/>
          <w:bCs/>
          <w:snapToGrid w:val="0"/>
          <w:kern w:val="0"/>
          <w:sz w:val="24"/>
          <w:lang w:val="en-US" w:eastAsia="zh-CN"/>
        </w:rPr>
        <w:t>率</w:t>
      </w:r>
      <w:r>
        <w:rPr>
          <w:rFonts w:hint="eastAsia" w:ascii="宋体" w:hAnsi="宋体"/>
          <w:bCs/>
          <w:snapToGrid w:val="0"/>
          <w:kern w:val="0"/>
          <w:sz w:val="24"/>
        </w:rPr>
        <w:t>，该</w:t>
      </w:r>
      <w:r>
        <w:rPr>
          <w:rFonts w:hint="eastAsia" w:ascii="宋体" w:hAnsi="宋体"/>
          <w:bCs/>
          <w:snapToGrid w:val="0"/>
          <w:kern w:val="0"/>
          <w:sz w:val="24"/>
          <w:lang w:val="en-US" w:eastAsia="zh-CN"/>
        </w:rPr>
        <w:t>成交</w:t>
      </w:r>
      <w:r>
        <w:rPr>
          <w:rFonts w:hint="eastAsia" w:ascii="宋体" w:hAnsi="宋体"/>
          <w:bCs/>
          <w:snapToGrid w:val="0"/>
          <w:kern w:val="0"/>
          <w:sz w:val="24"/>
        </w:rPr>
        <w:t>折扣</w:t>
      </w:r>
      <w:r>
        <w:rPr>
          <w:rFonts w:hint="eastAsia" w:ascii="宋体" w:hAnsi="宋体"/>
          <w:bCs/>
          <w:snapToGrid w:val="0"/>
          <w:kern w:val="0"/>
          <w:sz w:val="24"/>
          <w:lang w:val="en-US" w:eastAsia="zh-CN"/>
        </w:rPr>
        <w:t>率</w:t>
      </w:r>
      <w:r>
        <w:rPr>
          <w:rFonts w:hint="eastAsia" w:ascii="宋体" w:hAnsi="宋体"/>
          <w:bCs/>
          <w:snapToGrid w:val="0"/>
          <w:kern w:val="0"/>
          <w:sz w:val="24"/>
        </w:rPr>
        <w:t>为</w:t>
      </w:r>
      <w:r>
        <w:rPr>
          <w:rFonts w:hint="eastAsia" w:ascii="宋体" w:hAnsi="宋体"/>
          <w:bCs/>
          <w:snapToGrid w:val="0"/>
          <w:kern w:val="0"/>
          <w:sz w:val="24"/>
          <w:lang w:val="en-US" w:eastAsia="zh-CN"/>
        </w:rPr>
        <w:t>成交</w:t>
      </w:r>
      <w:r>
        <w:rPr>
          <w:rFonts w:hint="eastAsia" w:ascii="宋体" w:hAnsi="宋体"/>
          <w:bCs/>
          <w:snapToGrid w:val="0"/>
          <w:kern w:val="0"/>
          <w:sz w:val="24"/>
        </w:rPr>
        <w:t>供应商</w:t>
      </w:r>
      <w:r>
        <w:rPr>
          <w:rFonts w:hint="eastAsia" w:ascii="宋体" w:hAnsi="宋体"/>
          <w:bCs/>
          <w:snapToGrid w:val="0"/>
          <w:kern w:val="0"/>
          <w:sz w:val="24"/>
          <w:lang w:val="en-US" w:eastAsia="zh-CN"/>
        </w:rPr>
        <w:t>询价响应</w:t>
      </w:r>
      <w:r>
        <w:rPr>
          <w:rFonts w:hint="eastAsia" w:ascii="宋体" w:hAnsi="宋体"/>
          <w:bCs/>
          <w:snapToGrid w:val="0"/>
          <w:kern w:val="0"/>
          <w:sz w:val="24"/>
        </w:rPr>
        <w:t>时所报</w:t>
      </w:r>
      <w:r>
        <w:rPr>
          <w:rFonts w:hint="eastAsia" w:ascii="宋体" w:hAnsi="宋体"/>
          <w:bCs/>
          <w:snapToGrid w:val="0"/>
          <w:kern w:val="0"/>
          <w:sz w:val="24"/>
          <w:lang w:val="en-US" w:eastAsia="zh-CN"/>
        </w:rPr>
        <w:t>询价折扣率。</w:t>
      </w:r>
    </w:p>
    <w:p w14:paraId="6ED98948">
      <w:pPr>
        <w:adjustRightInd w:val="0"/>
        <w:snapToGrid w:val="0"/>
        <w:spacing w:line="240" w:lineRule="auto"/>
        <w:ind w:left="895" w:leftChars="200" w:hanging="475" w:hangingChars="198"/>
        <w:rPr>
          <w:rFonts w:ascii="宋体" w:hAnsi="宋体"/>
          <w:bCs/>
          <w:snapToGrid w:val="0"/>
          <w:kern w:val="0"/>
          <w:sz w:val="24"/>
        </w:rPr>
      </w:pPr>
      <w:r>
        <w:rPr>
          <w:rFonts w:hint="eastAsia" w:ascii="宋体" w:hAnsi="宋体"/>
          <w:bCs/>
          <w:snapToGrid w:val="0"/>
          <w:kern w:val="0"/>
          <w:sz w:val="24"/>
        </w:rPr>
        <w:t>3、如有增值服务可填写在备注栏；</w:t>
      </w:r>
    </w:p>
    <w:p w14:paraId="2DF41E47">
      <w:pPr>
        <w:adjustRightInd w:val="0"/>
        <w:snapToGrid w:val="0"/>
        <w:spacing w:line="24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lang w:val="en-US" w:eastAsia="zh-CN"/>
        </w:rPr>
        <w:t>折扣率</w:t>
      </w:r>
      <w:r>
        <w:rPr>
          <w:rFonts w:hint="eastAsia" w:ascii="宋体" w:hAnsi="宋体"/>
          <w:bCs/>
          <w:snapToGrid w:val="0"/>
          <w:kern w:val="0"/>
          <w:sz w:val="24"/>
        </w:rPr>
        <w:t>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774DDB7A">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E6C87"/>
    <w:multiLevelType w:val="singleLevel"/>
    <w:tmpl w:val="874E6C87"/>
    <w:lvl w:ilvl="0" w:tentative="0">
      <w:start w:val="3"/>
      <w:numFmt w:val="chineseCounting"/>
      <w:suff w:val="nothing"/>
      <w:lvlText w:val="%1、"/>
      <w:lvlJc w:val="left"/>
      <w:rPr>
        <w:rFonts w:hint="eastAsia"/>
      </w:rPr>
    </w:lvl>
  </w:abstractNum>
  <w:abstractNum w:abstractNumId="1">
    <w:nsid w:val="BECDFE7B"/>
    <w:multiLevelType w:val="singleLevel"/>
    <w:tmpl w:val="BECDFE7B"/>
    <w:lvl w:ilvl="0" w:tentative="0">
      <w:start w:val="1"/>
      <w:numFmt w:val="decimal"/>
      <w:suff w:val="nothing"/>
      <w:lvlText w:val="（%1）"/>
      <w:lvlJc w:val="left"/>
    </w:lvl>
  </w:abstractNum>
  <w:abstractNum w:abstractNumId="2">
    <w:nsid w:val="C8EAC291"/>
    <w:multiLevelType w:val="singleLevel"/>
    <w:tmpl w:val="C8EAC291"/>
    <w:lvl w:ilvl="0" w:tentative="0">
      <w:start w:val="1"/>
      <w:numFmt w:val="decimal"/>
      <w:suff w:val="nothing"/>
      <w:lvlText w:val="（%1）"/>
      <w:lvlJc w:val="left"/>
    </w:lvl>
  </w:abstractNum>
  <w:abstractNum w:abstractNumId="3">
    <w:nsid w:val="00E3B2AF"/>
    <w:multiLevelType w:val="singleLevel"/>
    <w:tmpl w:val="00E3B2AF"/>
    <w:lvl w:ilvl="0" w:tentative="0">
      <w:start w:val="2"/>
      <w:numFmt w:val="chineseCounting"/>
      <w:suff w:val="nothing"/>
      <w:lvlText w:val="（%1）"/>
      <w:lvlJc w:val="left"/>
      <w:rPr>
        <w:rFonts w:hint="eastAsia"/>
      </w:rPr>
    </w:lvl>
  </w:abstractNum>
  <w:abstractNum w:abstractNumId="4">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B644D06"/>
    <w:rsid w:val="1C887A8F"/>
    <w:rsid w:val="1F081154"/>
    <w:rsid w:val="2095729A"/>
    <w:rsid w:val="21020A84"/>
    <w:rsid w:val="231F674B"/>
    <w:rsid w:val="239863D1"/>
    <w:rsid w:val="24304168"/>
    <w:rsid w:val="25254A0D"/>
    <w:rsid w:val="25EF3DCB"/>
    <w:rsid w:val="25F2078B"/>
    <w:rsid w:val="275E5359"/>
    <w:rsid w:val="27D41703"/>
    <w:rsid w:val="29EF1806"/>
    <w:rsid w:val="2A550045"/>
    <w:rsid w:val="2D936DA1"/>
    <w:rsid w:val="2FB06326"/>
    <w:rsid w:val="317D4289"/>
    <w:rsid w:val="31D7251E"/>
    <w:rsid w:val="31DC208A"/>
    <w:rsid w:val="31EE25F8"/>
    <w:rsid w:val="344B7F15"/>
    <w:rsid w:val="345C3DCA"/>
    <w:rsid w:val="355251D2"/>
    <w:rsid w:val="38E97BDC"/>
    <w:rsid w:val="392678C4"/>
    <w:rsid w:val="3A127140"/>
    <w:rsid w:val="3E911746"/>
    <w:rsid w:val="3F1D3237"/>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3EB59C7"/>
    <w:rsid w:val="545C11F4"/>
    <w:rsid w:val="59B23993"/>
    <w:rsid w:val="59F45752"/>
    <w:rsid w:val="5A807519"/>
    <w:rsid w:val="5C2710F9"/>
    <w:rsid w:val="5E317FAE"/>
    <w:rsid w:val="5E711D46"/>
    <w:rsid w:val="5EDB6B4A"/>
    <w:rsid w:val="615E6687"/>
    <w:rsid w:val="616421C6"/>
    <w:rsid w:val="62864468"/>
    <w:rsid w:val="62CF609E"/>
    <w:rsid w:val="643E547F"/>
    <w:rsid w:val="64E7316B"/>
    <w:rsid w:val="684D5117"/>
    <w:rsid w:val="68F67A18"/>
    <w:rsid w:val="69FA35A8"/>
    <w:rsid w:val="6A995FA5"/>
    <w:rsid w:val="6AA51683"/>
    <w:rsid w:val="6AF9750B"/>
    <w:rsid w:val="6D8E6A2F"/>
    <w:rsid w:val="6ED628CC"/>
    <w:rsid w:val="6EE83F45"/>
    <w:rsid w:val="6F371D0A"/>
    <w:rsid w:val="704E2D79"/>
    <w:rsid w:val="71581B34"/>
    <w:rsid w:val="72FD3977"/>
    <w:rsid w:val="763C15B6"/>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6"/>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5"/>
    <w:qFormat/>
    <w:uiPriority w:val="0"/>
    <w:pPr>
      <w:shd w:val="clear" w:color="auto" w:fill="000080"/>
    </w:pPr>
  </w:style>
  <w:style w:type="paragraph" w:styleId="12">
    <w:name w:val="annotation text"/>
    <w:basedOn w:val="1"/>
    <w:link w:val="68"/>
    <w:qFormat/>
    <w:uiPriority w:val="99"/>
    <w:pPr>
      <w:jc w:val="left"/>
    </w:pPr>
  </w:style>
  <w:style w:type="paragraph" w:styleId="13">
    <w:name w:val="Body Text 3"/>
    <w:basedOn w:val="1"/>
    <w:link w:val="67"/>
    <w:qFormat/>
    <w:uiPriority w:val="0"/>
    <w:pPr>
      <w:spacing w:after="120"/>
    </w:pPr>
    <w:rPr>
      <w:sz w:val="16"/>
      <w:szCs w:val="16"/>
    </w:rPr>
  </w:style>
  <w:style w:type="paragraph" w:styleId="14">
    <w:name w:val="Body Text"/>
    <w:basedOn w:val="1"/>
    <w:link w:val="52"/>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2"/>
    <w:basedOn w:val="1"/>
    <w:next w:val="1"/>
    <w:qFormat/>
    <w:uiPriority w:val="0"/>
    <w:pPr>
      <w:ind w:left="100" w:leftChars="200" w:hanging="200" w:hangingChars="200"/>
    </w:pPr>
    <w:rPr>
      <w:szCs w:val="24"/>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2"/>
    <w:next w:val="12"/>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1"/>
    <w:qFormat/>
    <w:uiPriority w:val="0"/>
    <w:rPr>
      <w:kern w:val="2"/>
      <w:sz w:val="21"/>
      <w:szCs w:val="24"/>
      <w:shd w:val="clear" w:color="auto" w:fill="000080"/>
    </w:rPr>
  </w:style>
  <w:style w:type="character" w:customStyle="1" w:styleId="46">
    <w:name w:val="标题 3 Char"/>
    <w:link w:val="4"/>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14"/>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3"/>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5"/>
    <w:qFormat/>
    <w:uiPriority w:val="9"/>
    <w:rPr>
      <w:rFonts w:ascii="华文中宋" w:hAnsi="华文中宋" w:eastAsia="华文中宋"/>
      <w:b/>
      <w:bCs/>
      <w:kern w:val="2"/>
      <w:sz w:val="28"/>
    </w:rPr>
  </w:style>
  <w:style w:type="character" w:customStyle="1" w:styleId="57">
    <w:name w:val="正文缩进 Char"/>
    <w:link w:val="9"/>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3"/>
    <w:qFormat/>
    <w:uiPriority w:val="0"/>
    <w:rPr>
      <w:kern w:val="2"/>
      <w:sz w:val="16"/>
      <w:szCs w:val="16"/>
    </w:rPr>
  </w:style>
  <w:style w:type="character" w:customStyle="1" w:styleId="68">
    <w:name w:val="批注文字 Char"/>
    <w:link w:val="12"/>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6"/>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character" w:customStyle="1" w:styleId="180">
    <w:name w:val="font1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4456</Words>
  <Characters>4943</Characters>
  <Lines>19</Lines>
  <Paragraphs>5</Paragraphs>
  <TotalTime>1</TotalTime>
  <ScaleCrop>false</ScaleCrop>
  <LinksUpToDate>false</LinksUpToDate>
  <CharactersWithSpaces>5106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2026-06-08T01:05:03Z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3E179E1C05744E44BF36821CACCDCC6B_13</vt:lpwstr>
  </property>
  <property fmtid="{D5CDD505-2E9C-101B-9397-08002B2CF9AE}" pid="4" name="KSOTemplateDocerSaveRecord">
    <vt:lpwstr>eyJoZGlkIjoiYjg0ODgxMzg4ODEyOTJlMDkxNGQ4NjQ1OGFmNWMxYmMiLCJ1c2VySWQiOiI5MzM0MzE0MjkifQ==</vt:lpwstr>
  </property>
</Properties>
</file>