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F69FA">
      <w:pPr>
        <w:spacing w:line="360" w:lineRule="auto"/>
        <w:jc w:val="center"/>
        <w:rPr>
          <w:rFonts w:hint="eastAsia" w:ascii="黑体" w:hAnsi="黑体" w:cs="Times New Roman" w:eastAsiaTheme="majorEastAsia"/>
          <w:sz w:val="32"/>
          <w:szCs w:val="32"/>
          <w:lang w:eastAsia="zh-CN"/>
        </w:rPr>
      </w:pPr>
      <w:r>
        <w:rPr>
          <w:rFonts w:hint="eastAsia" w:asciiTheme="majorEastAsia" w:hAnsiTheme="majorEastAsia" w:eastAsiaTheme="majorEastAsia" w:cstheme="majorEastAsia"/>
          <w:color w:val="000000"/>
          <w:sz w:val="44"/>
          <w:szCs w:val="44"/>
          <w:shd w:val="clear" w:color="auto" w:fill="FFFFFF"/>
          <w:lang w:val="en-US" w:eastAsia="zh-CN"/>
        </w:rPr>
        <w:t>年度物业保障服务采购项目需求</w:t>
      </w:r>
    </w:p>
    <w:p w14:paraId="53938B99">
      <w:pPr>
        <w:spacing w:line="360" w:lineRule="auto"/>
        <w:jc w:val="left"/>
        <w:rPr>
          <w:rFonts w:hint="eastAsia" w:ascii="黑体" w:hAnsi="黑体" w:eastAsia="黑体" w:cs="Times New Roman"/>
          <w:sz w:val="32"/>
          <w:szCs w:val="32"/>
          <w:lang w:val="en-US" w:eastAsia="zh-CN"/>
        </w:rPr>
      </w:pPr>
    </w:p>
    <w:p w14:paraId="27F1B77D">
      <w:pPr>
        <w:spacing w:line="360" w:lineRule="auto"/>
        <w:jc w:val="left"/>
        <w:rPr>
          <w:rFonts w:ascii="黑体" w:hAnsi="黑体" w:eastAsia="黑体" w:cs="Times New Roman"/>
          <w:sz w:val="32"/>
          <w:szCs w:val="32"/>
        </w:rPr>
      </w:pPr>
      <w:r>
        <w:rPr>
          <w:rFonts w:hint="eastAsia" w:ascii="黑体" w:hAnsi="黑体" w:eastAsia="黑体" w:cs="Times New Roman"/>
          <w:sz w:val="32"/>
          <w:szCs w:val="32"/>
          <w:lang w:val="en-US" w:eastAsia="zh-CN"/>
        </w:rPr>
        <w:t>一、</w:t>
      </w:r>
      <w:r>
        <w:rPr>
          <w:rFonts w:hint="eastAsia" w:ascii="黑体" w:hAnsi="黑体" w:eastAsia="黑体" w:cs="Times New Roman"/>
          <w:sz w:val="32"/>
          <w:szCs w:val="32"/>
        </w:rPr>
        <w:t>项目概况</w:t>
      </w:r>
    </w:p>
    <w:p w14:paraId="3C5848B5">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1.项目名称：深圳市南山区医疗集团总部</w:t>
      </w:r>
      <w:r>
        <w:rPr>
          <w:rFonts w:hint="eastAsia" w:ascii="仿宋" w:hAnsi="仿宋" w:eastAsia="仿宋" w:cs="Times New Roman"/>
          <w:b w:val="0"/>
          <w:bCs/>
          <w:color w:val="auto"/>
          <w:sz w:val="28"/>
          <w:szCs w:val="28"/>
          <w:highlight w:val="none"/>
          <w:u w:val="none"/>
          <w:lang w:val="en-US" w:eastAsia="zh-CN"/>
        </w:rPr>
        <w:t>年度物业保障服务项目</w:t>
      </w:r>
      <w:r>
        <w:rPr>
          <w:rFonts w:hint="eastAsia" w:ascii="仿宋" w:hAnsi="仿宋" w:eastAsia="仿宋" w:cs="Times New Roman"/>
          <w:b w:val="0"/>
          <w:bCs/>
          <w:color w:val="auto"/>
          <w:sz w:val="28"/>
          <w:szCs w:val="28"/>
          <w:highlight w:val="none"/>
          <w:u w:val="none"/>
        </w:rPr>
        <w:t>。</w:t>
      </w:r>
    </w:p>
    <w:p w14:paraId="445D471C">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2.经费预算：人民币</w:t>
      </w:r>
      <w:r>
        <w:rPr>
          <w:rFonts w:hint="eastAsia" w:ascii="仿宋" w:hAnsi="仿宋" w:eastAsia="仿宋" w:cs="Times New Roman"/>
          <w:b w:val="0"/>
          <w:bCs/>
          <w:color w:val="auto"/>
          <w:sz w:val="28"/>
          <w:szCs w:val="28"/>
          <w:highlight w:val="none"/>
          <w:u w:val="none"/>
          <w:lang w:val="en-US" w:eastAsia="zh-CN"/>
        </w:rPr>
        <w:t>900</w:t>
      </w:r>
      <w:r>
        <w:rPr>
          <w:rFonts w:hint="eastAsia" w:ascii="仿宋" w:hAnsi="仿宋" w:eastAsia="仿宋" w:cs="Times New Roman"/>
          <w:b w:val="0"/>
          <w:bCs/>
          <w:color w:val="auto"/>
          <w:sz w:val="28"/>
          <w:szCs w:val="28"/>
          <w:highlight w:val="none"/>
          <w:u w:val="none"/>
        </w:rPr>
        <w:t>万元</w:t>
      </w:r>
    </w:p>
    <w:p w14:paraId="2CAD0359">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rPr>
        <w:t>3.预算及报价费用包括</w:t>
      </w:r>
      <w:r>
        <w:rPr>
          <w:rFonts w:hint="eastAsia" w:ascii="仿宋" w:hAnsi="仿宋" w:eastAsia="仿宋" w:cs="Times New Roman"/>
          <w:b w:val="0"/>
          <w:bCs/>
          <w:color w:val="auto"/>
          <w:sz w:val="28"/>
          <w:szCs w:val="28"/>
          <w:highlight w:val="none"/>
          <w:u w:val="none"/>
          <w:lang w:eastAsia="zh-CN"/>
        </w:rPr>
        <w:t>：</w:t>
      </w:r>
    </w:p>
    <w:p w14:paraId="5688822F">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rPr>
        <w:t>本项目采用全包干总价模式，</w:t>
      </w:r>
      <w:r>
        <w:rPr>
          <w:rFonts w:hint="eastAsia" w:ascii="仿宋" w:hAnsi="仿宋" w:eastAsia="仿宋" w:cs="Times New Roman"/>
          <w:b w:val="0"/>
          <w:bCs/>
          <w:color w:val="auto"/>
          <w:sz w:val="28"/>
          <w:szCs w:val="28"/>
          <w:highlight w:val="none"/>
          <w:u w:val="none"/>
          <w:lang w:val="en-US" w:eastAsia="zh-CN"/>
        </w:rPr>
        <w:t>费用</w:t>
      </w:r>
      <w:r>
        <w:rPr>
          <w:rFonts w:hint="eastAsia" w:ascii="仿宋" w:hAnsi="仿宋" w:eastAsia="仿宋" w:cs="Times New Roman"/>
          <w:b w:val="0"/>
          <w:bCs/>
          <w:color w:val="auto"/>
          <w:sz w:val="28"/>
          <w:szCs w:val="28"/>
          <w:highlight w:val="none"/>
          <w:u w:val="none"/>
        </w:rPr>
        <w:t>包含</w:t>
      </w:r>
      <w:r>
        <w:rPr>
          <w:rFonts w:hint="eastAsia" w:ascii="仿宋" w:hAnsi="仿宋" w:eastAsia="仿宋" w:cs="Times New Roman"/>
          <w:b w:val="0"/>
          <w:bCs/>
          <w:color w:val="auto"/>
          <w:sz w:val="28"/>
          <w:szCs w:val="28"/>
          <w:highlight w:val="none"/>
          <w:u w:val="none"/>
          <w:lang w:eastAsia="zh-CN"/>
        </w:rPr>
        <w:t>且</w:t>
      </w:r>
      <w:r>
        <w:rPr>
          <w:rFonts w:hint="eastAsia" w:ascii="仿宋" w:hAnsi="仿宋" w:eastAsia="仿宋" w:cs="Times New Roman"/>
          <w:b w:val="0"/>
          <w:bCs/>
          <w:color w:val="auto"/>
          <w:sz w:val="28"/>
          <w:szCs w:val="28"/>
          <w:highlight w:val="none"/>
          <w:u w:val="none"/>
        </w:rPr>
        <w:t>不限于</w:t>
      </w:r>
      <w:r>
        <w:rPr>
          <w:rFonts w:hint="eastAsia" w:ascii="仿宋" w:hAnsi="仿宋" w:eastAsia="仿宋" w:cs="Times New Roman"/>
          <w:b w:val="0"/>
          <w:bCs/>
          <w:color w:val="auto"/>
          <w:sz w:val="28"/>
          <w:szCs w:val="28"/>
          <w:highlight w:val="none"/>
          <w:u w:val="none"/>
          <w:lang w:val="en-US" w:eastAsia="zh-CN"/>
        </w:rPr>
        <w:t>以下合同实施过程中应预见和不可预见的全部费用</w:t>
      </w:r>
      <w:r>
        <w:rPr>
          <w:rFonts w:hint="eastAsia" w:ascii="仿宋" w:hAnsi="仿宋" w:eastAsia="仿宋" w:cs="Times New Roman"/>
          <w:b w:val="0"/>
          <w:bCs/>
          <w:color w:val="auto"/>
          <w:sz w:val="28"/>
          <w:szCs w:val="28"/>
          <w:highlight w:val="none"/>
          <w:u w:val="none"/>
        </w:rPr>
        <w:t>：</w:t>
      </w:r>
    </w:p>
    <w:p w14:paraId="193FEFB4">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（1）服务实施费用：覆盖本文件约定的全部服务内容。</w:t>
      </w:r>
    </w:p>
    <w:p w14:paraId="6BF56DDB">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2）直接成本：服务人员工资、社会保险、公积金、高温补贴、福利费、餐费、加班费、体检费、工服费等用工成本;清洁工具及耗材（如消毒药剂、垃圾袋、垃圾桶等）、绿植养护物料及死苗补苗;垃圾清运费；高空绿植修剪;四害消杀药剂及消杀器械;管道疏通及化粪池清理；驻点所需办公用品；会议服务耗材（茶水、一次性纸杯、陶瓷杯等）；车辆油费、停车费、维修保养费、清洗费和保险费等；空气环境治理及检测费用；相关设施设备的配备等。</w:t>
      </w:r>
    </w:p>
    <w:p w14:paraId="345ED04A">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（3）间接成本：税费（增值税及附加等法定税费）、项目管理费、企业利润、合同履行期内可预见及不可预见的费用（如合同期内可能发生的应急事件处理、服务范围微调、极端天气应对等不可预见费用）。</w:t>
      </w:r>
    </w:p>
    <w:p w14:paraId="6FA503DF">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（4）系统与技术成本：人员考勤打卡系统及系统维护。</w:t>
      </w:r>
    </w:p>
    <w:p w14:paraId="43CBDF98">
      <w:pPr>
        <w:spacing w:line="360" w:lineRule="auto"/>
        <w:ind w:firstLine="560" w:firstLineChars="200"/>
        <w:rPr>
          <w:rFonts w:hint="eastAsia"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注：采购人在合同总价外不再另行支付任何未列明但实际发生的合理费用。</w:t>
      </w:r>
    </w:p>
    <w:p w14:paraId="0A71D249">
      <w:pPr>
        <w:spacing w:line="360" w:lineRule="auto"/>
        <w:ind w:firstLine="560" w:firstLineChars="200"/>
        <w:rPr>
          <w:rFonts w:ascii="仿宋" w:hAnsi="仿宋" w:eastAsia="仿宋" w:cs="Times New Roman"/>
          <w:b w:val="0"/>
          <w:bCs/>
          <w:color w:val="auto"/>
          <w:sz w:val="28"/>
          <w:szCs w:val="28"/>
          <w:highlight w:val="none"/>
          <w:u w:val="none"/>
        </w:rPr>
      </w:pPr>
      <w:r>
        <w:rPr>
          <w:rFonts w:hint="eastAsia" w:ascii="仿宋" w:hAnsi="仿宋" w:eastAsia="仿宋" w:cs="Times New Roman"/>
          <w:b w:val="0"/>
          <w:bCs/>
          <w:color w:val="auto"/>
          <w:sz w:val="28"/>
          <w:szCs w:val="28"/>
          <w:highlight w:val="none"/>
          <w:u w:val="none"/>
        </w:rPr>
        <w:t>4.项目简介与总体要求：</w:t>
      </w:r>
    </w:p>
    <w:p w14:paraId="56B6F75A">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深圳市南山区医疗集团总部、下设87家社区健康服务机构、1家培训中心、1家药品配送中心及5个仓储等所有服务点位，承担着南山片区居民基本医疗、公共卫生服务、药品配送、技能培训及仓储等重要职能。现通过公开招标方式选聘具备医疗卫生机构物业保障服务经验的专业投标人，提供一体化、全覆盖、标准化的物业保障服务，服务内容及要求概况如下：</w:t>
      </w:r>
    </w:p>
    <w:p w14:paraId="5EF8696D">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一）覆盖范围：覆盖深圳市南山区医疗集团总部办公区、停车场及院区；87家社康机构；1家培训中心；1家药品配送中心及5个仓储等所有服务点位（医疗区域、办公区域、公共区域、户外区域、特殊区域等）。全面保障日常运营环境及医疗卫生场所的特殊性需求。服务范围包含现有全部点位，后续新增社康机构及服务点位将自动纳入服务范畴，且不额外收取服务费用。</w:t>
      </w:r>
    </w:p>
    <w:p w14:paraId="7D727AB3">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eastAsia="zh-CN"/>
        </w:rPr>
        <w:t>（二）总体服务要求：按要求提供全面日常保洁服务及开荒、地板打蜡清洗保养等专项清洁服务，保障医疗卫生环境严格符合院感防控标准，协助社康机构准确上报医疗废物数据；系统维护室内、户外环境及公共区域卫生；管道疏通及化粪池清理，保障排水系统通畅；设施设备（风扇、扇叶、空调滤网、玻璃、窗帘等）专项深度清洁；四害及白蚁、跳蚤等消杀，要求四害密度持续控制在国家标准范围内；规范实施垃圾分类并及时清运垃圾；报刊、信件及杂志等收发;高效保障各类会议服务需求；专业实施绿植养护及绿化美化工作，包含高空绿植安全修剪；协助涉密文件及处方安全合规销毁；协助规范管理门卡、钥匙及家具资产；为药品配送中心提供专业协助服务；运用物业管理系统实施工作人员考勤打卡管理；新建或装修改造业务用房室内空气环境治理及检测服务（包括除甲醛、空气净化及出具检测报告等）；对独栋楼宇进行防雷检测（目前3个点位：区医疗集团总部、海湾社康、赤湾社康），并出具报告。</w:t>
      </w:r>
    </w:p>
    <w:p w14:paraId="4DC5A094">
      <w:pPr>
        <w:spacing w:line="360" w:lineRule="auto"/>
        <w:jc w:val="left"/>
        <w:rPr>
          <w:rFonts w:ascii="黑体" w:hAnsi="黑体" w:eastAsia="黑体" w:cs="Times New Roman"/>
          <w:b w:val="0"/>
          <w:bCs/>
          <w:color w:val="auto"/>
          <w:sz w:val="32"/>
          <w:szCs w:val="32"/>
          <w:highlight w:val="none"/>
          <w:u w:val="none"/>
        </w:rPr>
      </w:pPr>
      <w:r>
        <w:rPr>
          <w:rFonts w:hint="eastAsia" w:ascii="黑体" w:hAnsi="黑体" w:eastAsia="黑体" w:cs="Times New Roman"/>
          <w:b w:val="0"/>
          <w:bCs/>
          <w:color w:val="auto"/>
          <w:sz w:val="32"/>
          <w:szCs w:val="32"/>
          <w:highlight w:val="none"/>
          <w:u w:val="none"/>
          <w:lang w:val="en-US" w:eastAsia="zh-CN"/>
        </w:rPr>
        <w:t>二</w:t>
      </w:r>
      <w:r>
        <w:rPr>
          <w:rFonts w:hint="eastAsia" w:ascii="黑体" w:hAnsi="黑体" w:eastAsia="黑体" w:cs="Times New Roman"/>
          <w:b w:val="0"/>
          <w:bCs/>
          <w:color w:val="auto"/>
          <w:sz w:val="32"/>
          <w:szCs w:val="32"/>
          <w:highlight w:val="none"/>
          <w:u w:val="none"/>
        </w:rPr>
        <w:t>、采购内容</w:t>
      </w:r>
    </w:p>
    <w:p w14:paraId="73CB11CD">
      <w:pPr>
        <w:spacing w:line="360" w:lineRule="auto"/>
        <w:ind w:firstLine="560" w:firstLineChars="200"/>
        <w:rPr>
          <w:rFonts w:hint="eastAsia" w:ascii="仿宋" w:hAnsi="仿宋" w:eastAsia="仿宋" w:cs="Times New Roman"/>
          <w:b w:val="0"/>
          <w:bCs/>
          <w:color w:val="auto"/>
          <w:sz w:val="28"/>
          <w:szCs w:val="28"/>
          <w:highlight w:val="none"/>
          <w:u w:val="none"/>
          <w:lang w:eastAsia="zh-CN"/>
        </w:rPr>
      </w:pPr>
      <w:r>
        <w:rPr>
          <w:rFonts w:hint="eastAsia" w:ascii="仿宋" w:hAnsi="仿宋" w:eastAsia="仿宋" w:cs="Times New Roman"/>
          <w:b w:val="0"/>
          <w:bCs/>
          <w:color w:val="auto"/>
          <w:sz w:val="28"/>
          <w:szCs w:val="28"/>
          <w:highlight w:val="none"/>
          <w:u w:val="none"/>
          <w:lang w:val="en-US" w:eastAsia="zh-CN"/>
        </w:rPr>
        <w:t>本项目</w:t>
      </w:r>
      <w:r>
        <w:rPr>
          <w:rFonts w:hint="eastAsia" w:ascii="仿宋" w:hAnsi="仿宋" w:eastAsia="仿宋" w:cs="Times New Roman"/>
          <w:b w:val="0"/>
          <w:bCs/>
          <w:color w:val="auto"/>
          <w:sz w:val="28"/>
          <w:szCs w:val="28"/>
          <w:highlight w:val="none"/>
          <w:u w:val="none"/>
          <w:lang w:eastAsia="zh-CN"/>
        </w:rPr>
        <w:t>覆盖深圳市南山区医疗集团总部办公区、停车场及院区；87家社康机构；1家培训中心；1家药品配送中心及5个仓储等所有服务点位（医疗区域、办公区域、公共区域、户外区域、特殊区域等）。</w:t>
      </w:r>
      <w:r>
        <w:rPr>
          <w:rFonts w:hint="eastAsia" w:ascii="仿宋" w:hAnsi="仿宋" w:eastAsia="仿宋" w:cs="Times New Roman"/>
          <w:b w:val="0"/>
          <w:bCs/>
          <w:color w:val="auto"/>
          <w:sz w:val="28"/>
          <w:szCs w:val="28"/>
          <w:highlight w:val="none"/>
          <w:u w:val="none"/>
          <w:lang w:val="en-US" w:eastAsia="zh-CN"/>
        </w:rPr>
        <w:t>要求配置</w:t>
      </w:r>
      <w:r>
        <w:rPr>
          <w:rFonts w:hint="eastAsia" w:ascii="仿宋" w:hAnsi="仿宋" w:eastAsia="仿宋" w:cs="Times New Roman"/>
          <w:b w:val="0"/>
          <w:bCs/>
          <w:color w:val="auto"/>
          <w:sz w:val="28"/>
          <w:szCs w:val="28"/>
          <w:highlight w:val="none"/>
          <w:u w:val="none"/>
          <w:lang w:eastAsia="zh-CN"/>
        </w:rPr>
        <w:t>147 名服务人员，</w:t>
      </w:r>
      <w:r>
        <w:rPr>
          <w:rFonts w:hint="eastAsia" w:ascii="仿宋" w:hAnsi="仿宋" w:eastAsia="仿宋" w:cs="Times New Roman"/>
          <w:b w:val="0"/>
          <w:bCs/>
          <w:color w:val="auto"/>
          <w:sz w:val="28"/>
          <w:szCs w:val="28"/>
          <w:highlight w:val="none"/>
          <w:u w:val="none"/>
          <w:lang w:val="en-US" w:eastAsia="zh-CN"/>
        </w:rPr>
        <w:t>项目服务包括</w:t>
      </w:r>
      <w:r>
        <w:rPr>
          <w:rFonts w:hint="eastAsia" w:ascii="仿宋" w:hAnsi="仿宋" w:eastAsia="仿宋" w:cs="Times New Roman"/>
          <w:b w:val="0"/>
          <w:bCs/>
          <w:color w:val="auto"/>
          <w:sz w:val="28"/>
          <w:szCs w:val="28"/>
          <w:highlight w:val="none"/>
          <w:u w:val="none"/>
          <w:lang w:eastAsia="zh-CN"/>
        </w:rPr>
        <w:t>：基础全域医疗级保洁、垃圾规范化清运、有害生物防治与消杀、会议会务办公后勤、室内外绿化养护及高空修剪、涉密文件与处方销毁辅助、药品配送中心辅助、室内空气治理第三方检测、全员电子考勤、突发事件综合应急保障、独栋楼宇年度防雷检测；所有服务严格遵循医疗机构院感规范、爱卫运动、深圳本地卫生及环保标准，明确各项目作业频次、质量标准、响应时效、专项费用全包要求，配套完整人员管理、岗前</w:t>
      </w:r>
      <w:r>
        <w:rPr>
          <w:rFonts w:hint="eastAsia" w:ascii="仿宋" w:hAnsi="仿宋" w:eastAsia="仿宋" w:cs="Times New Roman"/>
          <w:b w:val="0"/>
          <w:bCs/>
          <w:color w:val="auto"/>
          <w:sz w:val="28"/>
          <w:szCs w:val="28"/>
          <w:highlight w:val="none"/>
          <w:u w:val="none"/>
          <w:lang w:val="en-US" w:eastAsia="zh-CN"/>
        </w:rPr>
        <w:t>及</w:t>
      </w:r>
      <w:r>
        <w:rPr>
          <w:rFonts w:hint="eastAsia" w:ascii="仿宋" w:hAnsi="仿宋" w:eastAsia="仿宋" w:cs="Times New Roman"/>
          <w:b w:val="0"/>
          <w:bCs/>
          <w:color w:val="auto"/>
          <w:sz w:val="28"/>
          <w:szCs w:val="28"/>
          <w:highlight w:val="none"/>
          <w:u w:val="none"/>
          <w:lang w:eastAsia="zh-CN"/>
        </w:rPr>
        <w:t>年度培训、设备物资保障、台账留存管理，可满足社康、集团总部日常运营、迎检、疫情、极端天气等各类场景后勤保障需求。</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B34F3"/>
    <w:multiLevelType w:val="singleLevel"/>
    <w:tmpl w:val="C3DB34F3"/>
    <w:lvl w:ilvl="0" w:tentative="0">
      <w:start w:val="1"/>
      <w:numFmt w:val="decimal"/>
      <w:pStyle w:val="8"/>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B2EEC"/>
    <w:rsid w:val="013B3D27"/>
    <w:rsid w:val="0AB62B9E"/>
    <w:rsid w:val="174B25FE"/>
    <w:rsid w:val="17B47855"/>
    <w:rsid w:val="1AEB1D63"/>
    <w:rsid w:val="1B5147DB"/>
    <w:rsid w:val="1BFD0D89"/>
    <w:rsid w:val="21C347B6"/>
    <w:rsid w:val="274D2A19"/>
    <w:rsid w:val="28AF35C6"/>
    <w:rsid w:val="32EC6BCF"/>
    <w:rsid w:val="3A9C240C"/>
    <w:rsid w:val="47DE5B58"/>
    <w:rsid w:val="534B2EEC"/>
    <w:rsid w:val="54190A9E"/>
    <w:rsid w:val="5BAD55B3"/>
    <w:rsid w:val="5DAA43BA"/>
    <w:rsid w:val="6AB22435"/>
    <w:rsid w:val="6EC421AE"/>
    <w:rsid w:val="6F3C68FE"/>
    <w:rsid w:val="6FC6392C"/>
    <w:rsid w:val="7692374C"/>
    <w:rsid w:val="781028C4"/>
    <w:rsid w:val="78BB0EB8"/>
    <w:rsid w:val="7A974C11"/>
    <w:rsid w:val="7BFC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paragraph" w:customStyle="1" w:styleId="7">
    <w:name w:val="例会标题1"/>
    <w:link w:val="9"/>
    <w:qFormat/>
    <w:uiPriority w:val="0"/>
    <w:pPr>
      <w:spacing w:before="50" w:beforeLines="50" w:after="50" w:afterLines="50" w:line="240" w:lineRule="auto"/>
    </w:pPr>
    <w:rPr>
      <w:rFonts w:hint="eastAsia" w:ascii="仿宋_GB2312" w:hAnsi="仿宋_GB2312" w:eastAsia="宋体" w:cs="仿宋_GB2312"/>
      <w:b/>
      <w:bCs/>
      <w:color w:val="2C3E50"/>
      <w:sz w:val="24"/>
      <w:shd w:val="clear" w:fill="FFFFFF"/>
    </w:rPr>
  </w:style>
  <w:style w:type="paragraph" w:customStyle="1" w:styleId="8">
    <w:name w:val="例会正文"/>
    <w:basedOn w:val="1"/>
    <w:qFormat/>
    <w:uiPriority w:val="0"/>
    <w:pPr>
      <w:numPr>
        <w:ilvl w:val="0"/>
        <w:numId w:val="1"/>
      </w:numPr>
      <w:spacing w:line="320" w:lineRule="exact"/>
      <w:ind w:left="0" w:leftChars="0" w:firstLine="562" w:firstLineChars="200"/>
    </w:pPr>
    <w:rPr>
      <w:rFonts w:hint="eastAsia" w:ascii="仿宋_GB2312" w:hAnsi="仿宋_GB2312" w:cs="仿宋_GB2312"/>
      <w:bCs/>
      <w:color w:val="2C3E50"/>
      <w:sz w:val="22"/>
      <w:szCs w:val="22"/>
      <w:shd w:val="clear" w:fill="FFFFFF"/>
      <w:lang w:val="en-US" w:eastAsia="zh-CN"/>
    </w:rPr>
  </w:style>
  <w:style w:type="character" w:customStyle="1" w:styleId="9">
    <w:name w:val="例会标题1 Char"/>
    <w:link w:val="7"/>
    <w:qFormat/>
    <w:uiPriority w:val="0"/>
    <w:rPr>
      <w:rFonts w:hint="eastAsia" w:ascii="仿宋_GB2312" w:hAnsi="仿宋_GB2312" w:eastAsia="宋体" w:cs="仿宋_GB2312"/>
      <w:b/>
      <w:bCs/>
      <w:color w:val="2C3E50"/>
      <w:sz w:val="24"/>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广东分公司</Company>
  <Pages>3</Pages>
  <Words>1592</Words>
  <Characters>1603</Characters>
  <Lines>0</Lines>
  <Paragraphs>0</Paragraphs>
  <TotalTime>3</TotalTime>
  <ScaleCrop>false</ScaleCrop>
  <LinksUpToDate>false</LinksUpToDate>
  <CharactersWithSpaces>1604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2026-06-18T08:59:00Z</dcterms:created>
  <dc:creator>24292</dc:creator>
  <cp:lastModifiedBy>Cici</cp:lastModifiedBy>
  <dcterms:modified xsi:type="dcterms:W3CDTF">2026-06-23T09:36:23Z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9B82DF12052D4AFF9DA612F3F87B4C41_11</vt:lpwstr>
  </property>
  <property fmtid="{D5CDD505-2E9C-101B-9397-08002B2CF9AE}" pid="4" name="KSOTemplateDocerSaveRecord">
    <vt:lpwstr>eyJoZGlkIjoiYWVjYjg1NWRlZmYwOTE5MDIzZDgxMjZhMjQ3OWVlZDQiLCJ1c2VySWQiOiI4MjM2NzAwNDEifQ==</vt:lpwstr>
  </property>
</Properties>
</file>