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r>
        <w:rPr>
          <w:rFonts w:hint="eastAsia"/>
        </w:rPr>
        <w:t>总章翡翠等4家社康机构改造项目可行性研究报告编制服务</w:t>
      </w:r>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3108" w:leftChars="608" w:hanging="1831" w:hangingChars="570"/>
        <w:jc w:val="left"/>
        <w:rPr>
          <w:rFonts w:ascii="宋体" w:hAnsi="宋体"/>
          <w:b/>
          <w:bCs/>
          <w:sz w:val="32"/>
          <w:szCs w:val="32"/>
        </w:rPr>
      </w:pPr>
      <w:r>
        <w:rPr>
          <w:rFonts w:hint="eastAsia" w:ascii="宋体" w:hAnsi="宋体"/>
          <w:b/>
          <w:bCs/>
          <w:sz w:val="32"/>
          <w:szCs w:val="32"/>
        </w:rPr>
        <w:t>项目名称：</w:t>
      </w:r>
      <w:r>
        <w:rPr>
          <w:rFonts w:hint="eastAsia" w:ascii="宋体" w:hAnsi="宋体"/>
          <w:b/>
          <w:bCs/>
          <w:sz w:val="32"/>
          <w:szCs w:val="32"/>
          <w:u w:val="single"/>
        </w:rPr>
        <w:t>南山区医疗集团总部</w:t>
      </w:r>
      <w:r>
        <w:rPr>
          <w:rFonts w:hint="eastAsia" w:ascii="宋体" w:hAnsi="宋体" w:cs="Times New Roman"/>
          <w:b/>
          <w:bCs/>
          <w:sz w:val="32"/>
          <w:szCs w:val="32"/>
          <w:u w:val="single"/>
          <w:lang w:val="en-US" w:eastAsia="zh-CN"/>
        </w:rPr>
        <w:t>大铲社康消防验收评估服务项目</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8</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bookmarkStart w:id="5" w:name="_GoBack"/>
      <w:bookmarkEnd w:id="5"/>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3"/>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3"/>
          <w:rFonts w:hint="eastAsia" w:ascii="宋体" w:hAnsi="宋体"/>
          <w:bCs/>
          <w:snapToGrid w:val="0"/>
          <w:color w:val="auto"/>
          <w:kern w:val="0"/>
          <w:sz w:val="24"/>
          <w:u w:val="none"/>
        </w:rPr>
        <w:t>地</w:t>
      </w:r>
      <w:r>
        <w:rPr>
          <w:rFonts w:hint="eastAsia" w:ascii="宋体" w:hAnsi="宋体"/>
          <w:bCs/>
          <w:snapToGrid w:val="0"/>
          <w:kern w:val="0"/>
          <w:sz w:val="24"/>
        </w:rPr>
        <w:t>　</w:t>
      </w:r>
      <w:r>
        <w:rPr>
          <w:rStyle w:val="43"/>
          <w:rFonts w:hint="eastAsia" w:ascii="宋体" w:hAnsi="宋体"/>
          <w:bCs/>
          <w:snapToGrid w:val="0"/>
          <w:color w:val="auto"/>
          <w:kern w:val="0"/>
          <w:sz w:val="24"/>
          <w:u w:val="none"/>
        </w:rPr>
        <w:t>址：深圳市南山区常兴路11号南山区医疗集团总部4楼</w:t>
      </w:r>
      <w:r>
        <w:rPr>
          <w:rStyle w:val="43"/>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2EEAE65C">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23FCF91C">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需求内容：</w:t>
      </w:r>
    </w:p>
    <w:p w14:paraId="0CA47B2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南山区医疗集团总部拟通过院内公开询价方式，选择1家符合资质要求的消防验收评估单位，对大铲社康机构开展消防验收评估工作。</w:t>
      </w:r>
    </w:p>
    <w:p w14:paraId="5425650C">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参加投标的单位必须是来自中华人民共和国境内的独立法人，且具有按文件要求承担项目规定的相关服务能力；</w:t>
      </w:r>
    </w:p>
    <w:p w14:paraId="19D741F0">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须提交有效期内营业执照及经营范围截图</w:t>
      </w:r>
      <w:r>
        <w:rPr>
          <w:rFonts w:hint="eastAsia" w:ascii="宋体" w:hAnsi="宋体" w:cs="宋体"/>
          <w:sz w:val="24"/>
          <w:szCs w:val="24"/>
          <w:lang w:val="en-US" w:eastAsia="zh-CN"/>
        </w:rPr>
        <w:t>；</w:t>
      </w:r>
    </w:p>
    <w:p w14:paraId="160BC830">
      <w:pPr>
        <w:pStyle w:val="15"/>
        <w:keepNext w:val="0"/>
        <w:keepLines w:val="0"/>
        <w:pageBreakBefore w:val="0"/>
        <w:numPr>
          <w:ilvl w:val="0"/>
          <w:numId w:val="2"/>
        </w:numPr>
        <w:kinsoku/>
        <w:wordWrap/>
        <w:overflowPunct/>
        <w:topLinePunct w:val="0"/>
        <w:autoSpaceDE/>
        <w:autoSpaceDN/>
        <w:bidi w:val="0"/>
        <w:spacing w:line="360" w:lineRule="auto"/>
        <w:ind w:left="0" w:leftChars="0" w:firstLine="482"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具有消防技术服务机构从业资格，在社会消防技术服务信息系统（https：//</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"https://shhxf.119.gov.cn/" \t "https://chat.deepseek.com/a/chat/s/_blank"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shhxf.119.gov.cn</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）中可查询，服务类型含消防设施维护保养检测及消防验收评估，提供系统备案截图；</w:t>
      </w:r>
    </w:p>
    <w:p w14:paraId="2CA8D458">
      <w:pPr>
        <w:pStyle w:val="15"/>
        <w:keepNext w:val="0"/>
        <w:keepLines w:val="0"/>
        <w:pageBreakBefore w:val="0"/>
        <w:numPr>
          <w:ilvl w:val="0"/>
          <w:numId w:val="0"/>
        </w:numPr>
        <w:kinsoku/>
        <w:wordWrap/>
        <w:overflowPunct/>
        <w:topLinePunct w:val="0"/>
        <w:autoSpaceDE/>
        <w:autoSpaceDN/>
        <w:bidi w:val="0"/>
        <w:spacing w:line="360" w:lineRule="auto"/>
        <w:ind w:leftChars="200"/>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（四）提供详细的企业基本信息，以及近三年无围标串标等违法违规行为的证明材料。</w:t>
      </w:r>
    </w:p>
    <w:p w14:paraId="5B49F935">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b w:val="0"/>
          <w:bCs/>
          <w:kern w:val="2"/>
          <w:sz w:val="24"/>
          <w:szCs w:val="24"/>
          <w:lang w:val="en-US" w:eastAsia="zh-CN" w:bidi="ar-SA"/>
        </w:rPr>
      </w:pPr>
      <w:r>
        <w:rPr>
          <w:rFonts w:hint="eastAsia" w:cs="宋体"/>
          <w:b w:val="0"/>
          <w:bCs/>
          <w:kern w:val="2"/>
          <w:sz w:val="24"/>
          <w:szCs w:val="24"/>
          <w:lang w:val="en-US" w:eastAsia="zh-CN" w:bidi="ar-SA"/>
        </w:rPr>
        <w:t>（五）</w:t>
      </w:r>
      <w:r>
        <w:rPr>
          <w:rFonts w:ascii="宋体" w:hAnsi="宋体" w:eastAsia="宋体" w:cs="宋体"/>
          <w:b w:val="0"/>
          <w:bCs/>
          <w:sz w:val="24"/>
          <w:szCs w:val="24"/>
        </w:rPr>
        <w:t>项目总预算金额</w:t>
      </w:r>
      <w:r>
        <w:rPr>
          <w:rFonts w:hint="eastAsia" w:ascii="宋体" w:hAnsi="宋体" w:eastAsia="宋体" w:cs="宋体"/>
          <w:b w:val="0"/>
          <w:bCs/>
          <w:sz w:val="24"/>
          <w:szCs w:val="24"/>
          <w:lang w:val="en-US" w:eastAsia="zh-CN"/>
        </w:rPr>
        <w:t>不超过</w:t>
      </w:r>
      <w:r>
        <w:rPr>
          <w:rFonts w:hint="eastAsia" w:cs="宋体"/>
          <w:b w:val="0"/>
          <w:bCs/>
          <w:sz w:val="24"/>
          <w:szCs w:val="24"/>
          <w:lang w:val="en-US" w:eastAsia="zh-CN"/>
        </w:rPr>
        <w:t>4000.00</w:t>
      </w:r>
      <w:r>
        <w:rPr>
          <w:rFonts w:hint="eastAsia" w:ascii="宋体" w:hAnsi="宋体" w:eastAsia="宋体" w:cs="宋体"/>
          <w:b w:val="0"/>
          <w:bCs/>
          <w:sz w:val="24"/>
          <w:szCs w:val="24"/>
          <w:lang w:val="en-US" w:eastAsia="zh-CN"/>
        </w:rPr>
        <w:t>元</w:t>
      </w:r>
    </w:p>
    <w:p w14:paraId="567F6460">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具体参数要求/服务要求：</w:t>
      </w:r>
    </w:p>
    <w:p w14:paraId="1F086D0B">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（一）本次询价采购服务对应项目为大铲社康机构改造项目</w:t>
      </w:r>
      <w:r>
        <w:rPr>
          <w:rFonts w:hint="eastAsia" w:ascii="宋体" w:hAnsi="宋体" w:eastAsia="宋体" w:cs="宋体"/>
          <w:b w:val="0"/>
          <w:bCs/>
          <w:sz w:val="24"/>
          <w:szCs w:val="24"/>
          <w:lang w:val="en-US" w:eastAsia="zh-CN"/>
        </w:rPr>
        <w:t>消防验收评估</w:t>
      </w:r>
      <w:r>
        <w:rPr>
          <w:rFonts w:hint="default" w:ascii="宋体" w:hAnsi="宋体" w:eastAsia="宋体" w:cs="宋体"/>
          <w:b w:val="0"/>
          <w:bCs/>
          <w:sz w:val="24"/>
          <w:szCs w:val="24"/>
          <w:lang w:val="en-US" w:eastAsia="zh-CN"/>
        </w:rPr>
        <w:t>，项目概况如下：项目建筑面积416.64㎡，评估范围覆盖该场所全部使用区域</w:t>
      </w:r>
      <w:r>
        <w:rPr>
          <w:rFonts w:hint="eastAsia" w:ascii="宋体" w:hAnsi="宋体" w:eastAsia="宋体" w:cs="宋体"/>
          <w:b w:val="0"/>
          <w:bCs/>
          <w:sz w:val="24"/>
          <w:szCs w:val="24"/>
          <w:lang w:val="en-US" w:eastAsia="zh-CN"/>
        </w:rPr>
        <w:t>。</w:t>
      </w:r>
    </w:p>
    <w:p w14:paraId="1AE56D73">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（二）本次采购大铲社康改造项目消防</w:t>
      </w:r>
      <w:r>
        <w:rPr>
          <w:rFonts w:hint="eastAsia" w:ascii="宋体" w:hAnsi="宋体" w:eastAsia="宋体" w:cs="宋体"/>
          <w:b w:val="0"/>
          <w:bCs/>
          <w:sz w:val="24"/>
          <w:szCs w:val="24"/>
          <w:lang w:val="en-US" w:eastAsia="zh-CN"/>
        </w:rPr>
        <w:t>验收</w:t>
      </w:r>
      <w:r>
        <w:rPr>
          <w:rFonts w:hint="default" w:ascii="宋体" w:hAnsi="宋体" w:eastAsia="宋体" w:cs="宋体"/>
          <w:b w:val="0"/>
          <w:bCs/>
          <w:sz w:val="24"/>
          <w:szCs w:val="24"/>
          <w:lang w:val="en-US" w:eastAsia="zh-CN"/>
        </w:rPr>
        <w:t>评估服务。评估单位须依据《中华人民共和国消防法》《深圳经济特区消防条例》及</w:t>
      </w:r>
      <w:r>
        <w:rPr>
          <w:rFonts w:hint="eastAsia" w:ascii="宋体" w:hAnsi="宋体" w:eastAsia="宋体" w:cs="宋体"/>
          <w:b w:val="0"/>
          <w:bCs/>
          <w:sz w:val="24"/>
          <w:szCs w:val="24"/>
          <w:lang w:val="en-US" w:eastAsia="zh-CN"/>
        </w:rPr>
        <w:t>相关</w:t>
      </w:r>
      <w:r>
        <w:rPr>
          <w:rFonts w:hint="default" w:ascii="宋体" w:hAnsi="宋体" w:eastAsia="宋体" w:cs="宋体"/>
          <w:b w:val="0"/>
          <w:bCs/>
          <w:sz w:val="24"/>
          <w:szCs w:val="24"/>
          <w:lang w:val="en-US" w:eastAsia="zh-CN"/>
        </w:rPr>
        <w:t>建筑消防技术规范，围绕场所总平面布局、平面布置、安全疏散、消防设施设备、内部装修防火及消防安全管理等方面开展全面评估，出具正式</w:t>
      </w:r>
      <w:r>
        <w:rPr>
          <w:rFonts w:hint="eastAsia" w:ascii="宋体" w:hAnsi="宋体" w:eastAsia="宋体" w:cs="宋体"/>
          <w:b w:val="0"/>
          <w:bCs/>
          <w:sz w:val="24"/>
          <w:szCs w:val="24"/>
          <w:lang w:val="en-US" w:eastAsia="zh-CN"/>
        </w:rPr>
        <w:t>消防验收评估</w:t>
      </w:r>
      <w:r>
        <w:rPr>
          <w:rFonts w:hint="default" w:ascii="宋体" w:hAnsi="宋体" w:eastAsia="宋体" w:cs="宋体"/>
          <w:b w:val="0"/>
          <w:bCs/>
          <w:sz w:val="24"/>
          <w:szCs w:val="24"/>
          <w:lang w:val="en-US" w:eastAsia="zh-CN"/>
        </w:rPr>
        <w:t>报告，对存在问题提出整改建议，</w:t>
      </w:r>
      <w:r>
        <w:rPr>
          <w:rFonts w:hint="eastAsia" w:ascii="宋体" w:hAnsi="宋体" w:eastAsia="宋体" w:cs="宋体"/>
          <w:b w:val="0"/>
          <w:bCs/>
          <w:sz w:val="24"/>
          <w:szCs w:val="24"/>
          <w:lang w:val="en-US" w:eastAsia="zh-CN"/>
        </w:rPr>
        <w:t>采购单位</w:t>
      </w:r>
      <w:r>
        <w:rPr>
          <w:rFonts w:hint="default" w:ascii="宋体" w:hAnsi="宋体" w:eastAsia="宋体" w:cs="宋体"/>
          <w:b w:val="0"/>
          <w:bCs/>
          <w:sz w:val="24"/>
          <w:szCs w:val="24"/>
          <w:lang w:val="en-US" w:eastAsia="zh-CN"/>
        </w:rPr>
        <w:t>整改完成后进行复查确认并出具评估结论，全程配合协助采购单位</w:t>
      </w:r>
      <w:r>
        <w:rPr>
          <w:rFonts w:hint="eastAsia" w:ascii="宋体" w:hAnsi="宋体" w:eastAsia="宋体" w:cs="宋体"/>
          <w:b w:val="0"/>
          <w:bCs/>
          <w:sz w:val="24"/>
          <w:szCs w:val="24"/>
          <w:lang w:val="en-US" w:eastAsia="zh-CN"/>
        </w:rPr>
        <w:t>开展相关工作。</w:t>
      </w:r>
    </w:p>
    <w:p w14:paraId="4CF8EEF8">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（三）本项目以询价形式选择1家符合资质要求的消防评估单位。评估单位须提供近3年</w:t>
      </w:r>
      <w:r>
        <w:rPr>
          <w:rFonts w:hint="eastAsia" w:ascii="宋体" w:hAnsi="宋体" w:eastAsia="宋体" w:cs="宋体"/>
          <w:b w:val="0"/>
          <w:bCs/>
          <w:sz w:val="24"/>
          <w:szCs w:val="24"/>
          <w:lang w:val="en-US" w:eastAsia="zh-CN"/>
        </w:rPr>
        <w:t>公共场所消防验收评估报告</w:t>
      </w:r>
      <w:r>
        <w:rPr>
          <w:rFonts w:hint="default" w:ascii="宋体" w:hAnsi="宋体" w:eastAsia="宋体" w:cs="宋体"/>
          <w:b w:val="0"/>
          <w:bCs/>
          <w:sz w:val="24"/>
          <w:szCs w:val="24"/>
          <w:lang w:val="en-US" w:eastAsia="zh-CN"/>
        </w:rPr>
        <w:t>，至少1个项目业绩，需有配套合同及评估报告封面佐证。</w:t>
      </w:r>
    </w:p>
    <w:p w14:paraId="37C0CCC5">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sz w:val="24"/>
          <w:szCs w:val="24"/>
          <w:lang w:val="en-US" w:eastAsia="zh-CN"/>
        </w:rPr>
      </w:pP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四</w:t>
      </w: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服务要求</w:t>
      </w:r>
      <w:r>
        <w:rPr>
          <w:rFonts w:hint="default" w:ascii="宋体" w:hAnsi="宋体" w:eastAsia="宋体" w:cs="宋体"/>
          <w:b w:val="0"/>
          <w:bCs/>
          <w:sz w:val="24"/>
          <w:szCs w:val="24"/>
          <w:lang w:val="en-US" w:eastAsia="zh-CN"/>
        </w:rPr>
        <w:t>：</w:t>
      </w:r>
      <w:r>
        <w:rPr>
          <w:rFonts w:hint="eastAsia" w:ascii="宋体" w:hAnsi="宋体" w:eastAsia="宋体" w:cs="宋体"/>
          <w:b w:val="0"/>
          <w:bCs/>
          <w:sz w:val="24"/>
          <w:szCs w:val="24"/>
          <w:lang w:val="en-US" w:eastAsia="zh-CN"/>
        </w:rPr>
        <w:t>评估单位应在3个日历天内出具消防验收评估报告初稿，对不符合消防规范的内容，应将消防安全隐患及相关解决建议上报采购单位，经采购单位整改完成后，评估单位需在3个日历天内进行复验，并在复验完成后3个日历天内出具参照区住建局审核验收相关规定的评估报告。</w:t>
      </w:r>
    </w:p>
    <w:p w14:paraId="1029518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三</w:t>
      </w:r>
      <w:r>
        <w:rPr>
          <w:rFonts w:hint="eastAsia" w:ascii="宋体" w:hAnsi="宋体" w:eastAsia="宋体" w:cs="宋体"/>
          <w:b/>
          <w:bCs/>
          <w:sz w:val="24"/>
          <w:szCs w:val="24"/>
          <w:lang w:eastAsia="zh-CN"/>
        </w:rPr>
        <w:t>、</w:t>
      </w:r>
      <w:r>
        <w:rPr>
          <w:rFonts w:hint="eastAsia" w:ascii="宋体" w:hAnsi="宋体" w:eastAsia="宋体" w:cs="宋体"/>
          <w:b/>
          <w:bCs/>
          <w:sz w:val="24"/>
          <w:szCs w:val="24"/>
        </w:rPr>
        <w:t>商务要求：</w:t>
      </w:r>
    </w:p>
    <w:p w14:paraId="7602F41D">
      <w:pPr>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一）合同履行期限：自合同签订之日起，评估单位应在3个日历天内出具消防验收评估报告初稿，对不符合消防规范的内容，应将消防安全隐患及相关解决建议上报采购单位，经采购单位整改完成后，评估单位需在3个日历天内进行复验，并在复验完成后3个日历天内出具参照区住建局审核验收相关规定的评估报告。</w:t>
      </w:r>
    </w:p>
    <w:p w14:paraId="7A96CF43">
      <w:pPr>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（二）验收方式：评估单位提交参照区住建局审核验收相关规定的评估报告，并通过采购单位审核确认。</w:t>
      </w:r>
    </w:p>
    <w:p w14:paraId="0E9C8A38">
      <w:pPr>
        <w:spacing w:line="360" w:lineRule="auto"/>
        <w:ind w:firstLine="480" w:firstLineChars="200"/>
        <w:rPr>
          <w:rFonts w:hint="default"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（三）付款方式：一次性支付</w:t>
      </w:r>
    </w:p>
    <w:p w14:paraId="0180729D">
      <w:pPr>
        <w:adjustRightInd w:val="0"/>
        <w:snapToGrid w:val="0"/>
        <w:spacing w:line="360" w:lineRule="auto"/>
        <w:jc w:val="left"/>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评估单位提交最终咨询服务成果文件，并通过采购单位审核确认。评估单位在收到采购单位确认后，提供付款申请单及发票，经审核无误后一次性支付。</w:t>
      </w: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7"/>
        <w:tblW w:w="498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406"/>
        <w:gridCol w:w="1153"/>
        <w:gridCol w:w="1290"/>
        <w:gridCol w:w="1538"/>
        <w:gridCol w:w="1644"/>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1360"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652" w:type="pct"/>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30"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870"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929"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1360"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652" w:type="pct"/>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30"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870"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929"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1360" w:type="pct"/>
            <w:vAlign w:val="center"/>
          </w:tcPr>
          <w:p w14:paraId="3636EC23">
            <w:pPr>
              <w:adjustRightInd w:val="0"/>
              <w:snapToGrid w:val="0"/>
              <w:spacing w:line="360" w:lineRule="auto"/>
              <w:jc w:val="center"/>
              <w:rPr>
                <w:rFonts w:ascii="宋体" w:hAnsi="宋体"/>
                <w:bCs/>
                <w:snapToGrid w:val="0"/>
                <w:kern w:val="0"/>
                <w:sz w:val="24"/>
              </w:rPr>
            </w:pPr>
          </w:p>
        </w:tc>
        <w:tc>
          <w:tcPr>
            <w:tcW w:w="652" w:type="pct"/>
            <w:vAlign w:val="center"/>
          </w:tcPr>
          <w:p w14:paraId="21865C54">
            <w:pPr>
              <w:adjustRightInd w:val="0"/>
              <w:snapToGrid w:val="0"/>
              <w:spacing w:line="360" w:lineRule="auto"/>
              <w:jc w:val="center"/>
              <w:rPr>
                <w:rFonts w:ascii="宋体" w:hAnsi="宋体"/>
                <w:bCs/>
                <w:snapToGrid w:val="0"/>
                <w:kern w:val="0"/>
                <w:sz w:val="24"/>
              </w:rPr>
            </w:pPr>
          </w:p>
        </w:tc>
        <w:tc>
          <w:tcPr>
            <w:tcW w:w="730" w:type="pct"/>
          </w:tcPr>
          <w:p w14:paraId="3E6871F0">
            <w:pPr>
              <w:adjustRightInd w:val="0"/>
              <w:snapToGrid w:val="0"/>
              <w:spacing w:line="360" w:lineRule="auto"/>
              <w:jc w:val="center"/>
              <w:rPr>
                <w:rFonts w:ascii="宋体" w:hAnsi="宋体"/>
                <w:bCs/>
                <w:snapToGrid w:val="0"/>
                <w:kern w:val="0"/>
                <w:sz w:val="24"/>
              </w:rPr>
            </w:pPr>
          </w:p>
        </w:tc>
        <w:tc>
          <w:tcPr>
            <w:tcW w:w="870" w:type="pct"/>
          </w:tcPr>
          <w:p w14:paraId="76FC8357">
            <w:pPr>
              <w:adjustRightInd w:val="0"/>
              <w:snapToGrid w:val="0"/>
              <w:spacing w:line="360" w:lineRule="auto"/>
              <w:jc w:val="center"/>
              <w:rPr>
                <w:rFonts w:ascii="宋体" w:hAnsi="宋体"/>
                <w:bCs/>
                <w:snapToGrid w:val="0"/>
                <w:kern w:val="0"/>
                <w:sz w:val="24"/>
              </w:rPr>
            </w:pPr>
          </w:p>
        </w:tc>
        <w:tc>
          <w:tcPr>
            <w:tcW w:w="929"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1360"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652" w:type="pct"/>
            <w:vAlign w:val="center"/>
          </w:tcPr>
          <w:p w14:paraId="42980E21">
            <w:pPr>
              <w:adjustRightInd w:val="0"/>
              <w:snapToGrid w:val="0"/>
              <w:spacing w:line="360" w:lineRule="auto"/>
              <w:jc w:val="center"/>
              <w:rPr>
                <w:rFonts w:ascii="宋体" w:hAnsi="宋体"/>
                <w:bCs/>
                <w:snapToGrid w:val="0"/>
                <w:kern w:val="0"/>
                <w:sz w:val="24"/>
              </w:rPr>
            </w:pPr>
          </w:p>
        </w:tc>
        <w:tc>
          <w:tcPr>
            <w:tcW w:w="730" w:type="pct"/>
          </w:tcPr>
          <w:p w14:paraId="47395228">
            <w:pPr>
              <w:adjustRightInd w:val="0"/>
              <w:snapToGrid w:val="0"/>
              <w:spacing w:line="360" w:lineRule="auto"/>
              <w:jc w:val="center"/>
              <w:rPr>
                <w:rFonts w:ascii="宋体" w:hAnsi="宋体"/>
                <w:bCs/>
                <w:snapToGrid w:val="0"/>
                <w:kern w:val="0"/>
                <w:sz w:val="24"/>
              </w:rPr>
            </w:pPr>
          </w:p>
        </w:tc>
        <w:tc>
          <w:tcPr>
            <w:tcW w:w="870" w:type="pct"/>
          </w:tcPr>
          <w:p w14:paraId="0A704282">
            <w:pPr>
              <w:adjustRightInd w:val="0"/>
              <w:snapToGrid w:val="0"/>
              <w:spacing w:line="360" w:lineRule="auto"/>
              <w:jc w:val="center"/>
              <w:rPr>
                <w:rFonts w:ascii="宋体" w:hAnsi="宋体"/>
                <w:bCs/>
                <w:snapToGrid w:val="0"/>
                <w:kern w:val="0"/>
                <w:sz w:val="24"/>
              </w:rPr>
            </w:pPr>
          </w:p>
        </w:tc>
        <w:tc>
          <w:tcPr>
            <w:tcW w:w="929" w:type="pct"/>
          </w:tcPr>
          <w:p w14:paraId="300BA554">
            <w:pPr>
              <w:adjustRightInd w:val="0"/>
              <w:snapToGrid w:val="0"/>
              <w:spacing w:line="360" w:lineRule="auto"/>
              <w:jc w:val="center"/>
              <w:rPr>
                <w:rFonts w:ascii="宋体" w:hAnsi="宋体"/>
                <w:bCs/>
                <w:snapToGrid w:val="0"/>
                <w:kern w:val="0"/>
                <w:sz w:val="24"/>
              </w:rPr>
            </w:pPr>
          </w:p>
        </w:tc>
      </w:tr>
      <w:tr w14:paraId="5816BC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65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2530" w:type="pct"/>
            <w:gridSpan w:val="3"/>
            <w:tcBorders>
              <w:top w:val="single" w:color="auto" w:sz="4" w:space="0"/>
              <w:bottom w:val="single" w:color="auto" w:sz="4" w:space="0"/>
            </w:tcBorders>
            <w:vAlign w:val="center"/>
          </w:tcPr>
          <w:p w14:paraId="20E69ED7">
            <w:pPr>
              <w:adjustRightInd w:val="0"/>
              <w:snapToGrid w:val="0"/>
              <w:spacing w:line="360" w:lineRule="auto"/>
              <w:jc w:val="center"/>
              <w:rPr>
                <w:rFonts w:ascii="宋体" w:hAnsi="宋体"/>
                <w:bCs/>
                <w:snapToGrid w:val="0"/>
                <w:kern w:val="0"/>
                <w:sz w:val="24"/>
              </w:rPr>
            </w:pPr>
          </w:p>
        </w:tc>
      </w:tr>
      <w:tr w14:paraId="0095BA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65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2530" w:type="pct"/>
            <w:gridSpan w:val="3"/>
            <w:tcBorders>
              <w:top w:val="single" w:color="auto" w:sz="4" w:space="0"/>
              <w:bottom w:val="double" w:color="auto" w:sz="4" w:space="0"/>
            </w:tcBorders>
            <w:vAlign w:val="center"/>
          </w:tcPr>
          <w:p w14:paraId="52320506">
            <w:pPr>
              <w:adjustRightInd w:val="0"/>
              <w:snapToGrid w:val="0"/>
              <w:spacing w:line="360" w:lineRule="auto"/>
              <w:jc w:val="center"/>
              <w:rPr>
                <w:rFonts w:hint="eastAsia" w:ascii="宋体" w:hAnsi="宋体"/>
                <w:bCs/>
                <w:snapToGrid w:val="0"/>
                <w:kern w:val="0"/>
                <w:sz w:val="24"/>
                <w:highlight w:val="cyan"/>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3</w:t>
    </w:r>
    <w:r>
      <w:fldChar w:fldCharType="end"/>
    </w:r>
  </w:p>
  <w:p w14:paraId="4E0FF28B">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6"/>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6"/>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FD177"/>
    <w:multiLevelType w:val="singleLevel"/>
    <w:tmpl w:val="CAEFD177"/>
    <w:lvl w:ilvl="0" w:tentative="0">
      <w:start w:val="1"/>
      <w:numFmt w:val="chineseCounting"/>
      <w:suff w:val="nothing"/>
      <w:lvlText w:val="（%1）"/>
      <w:lvlJc w:val="left"/>
      <w:rPr>
        <w:rFonts w:hint="eastAsia"/>
      </w:rPr>
    </w:lvl>
  </w:abstractNum>
  <w:abstractNum w:abstractNumId="1">
    <w:nsid w:val="E8A8FE00"/>
    <w:multiLevelType w:val="singleLevel"/>
    <w:tmpl w:val="E8A8FE00"/>
    <w:lvl w:ilvl="0" w:tentative="0">
      <w:start w:val="1"/>
      <w:numFmt w:val="decimal"/>
      <w:suff w:val="nothing"/>
      <w:lvlText w:val="%1、"/>
      <w:lvlJc w:val="left"/>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6"/>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767395"/>
    <w:rsid w:val="03EE4A9C"/>
    <w:rsid w:val="04E71358"/>
    <w:rsid w:val="05C70D93"/>
    <w:rsid w:val="072347D7"/>
    <w:rsid w:val="08BC337C"/>
    <w:rsid w:val="092C38DF"/>
    <w:rsid w:val="09EE200C"/>
    <w:rsid w:val="0A014C73"/>
    <w:rsid w:val="0AD33069"/>
    <w:rsid w:val="0D280723"/>
    <w:rsid w:val="1152407D"/>
    <w:rsid w:val="1181541B"/>
    <w:rsid w:val="122C190A"/>
    <w:rsid w:val="1452414A"/>
    <w:rsid w:val="154B4D60"/>
    <w:rsid w:val="160F0030"/>
    <w:rsid w:val="16443B86"/>
    <w:rsid w:val="167B7613"/>
    <w:rsid w:val="17F5757F"/>
    <w:rsid w:val="18D90AC3"/>
    <w:rsid w:val="1ACC0F02"/>
    <w:rsid w:val="1ACE017F"/>
    <w:rsid w:val="1C887A8F"/>
    <w:rsid w:val="1F081154"/>
    <w:rsid w:val="2095729A"/>
    <w:rsid w:val="21020A84"/>
    <w:rsid w:val="231F674B"/>
    <w:rsid w:val="239863D1"/>
    <w:rsid w:val="25254A0D"/>
    <w:rsid w:val="25EF3DCB"/>
    <w:rsid w:val="275E5359"/>
    <w:rsid w:val="27D41703"/>
    <w:rsid w:val="29EF1806"/>
    <w:rsid w:val="2A550045"/>
    <w:rsid w:val="2D936DA1"/>
    <w:rsid w:val="2FB06326"/>
    <w:rsid w:val="317D4289"/>
    <w:rsid w:val="31D7251E"/>
    <w:rsid w:val="31DC208A"/>
    <w:rsid w:val="344B7F15"/>
    <w:rsid w:val="345C3DCA"/>
    <w:rsid w:val="355251D2"/>
    <w:rsid w:val="38E97BDC"/>
    <w:rsid w:val="392678C4"/>
    <w:rsid w:val="3A127140"/>
    <w:rsid w:val="3E911746"/>
    <w:rsid w:val="3F563A81"/>
    <w:rsid w:val="3FE25B2D"/>
    <w:rsid w:val="416558B9"/>
    <w:rsid w:val="42303267"/>
    <w:rsid w:val="44000DE5"/>
    <w:rsid w:val="456914A4"/>
    <w:rsid w:val="45D4532C"/>
    <w:rsid w:val="45E74EF6"/>
    <w:rsid w:val="46EE566A"/>
    <w:rsid w:val="47AE1D32"/>
    <w:rsid w:val="47FD66C6"/>
    <w:rsid w:val="48FC114A"/>
    <w:rsid w:val="4A2F6F19"/>
    <w:rsid w:val="4B8B4E47"/>
    <w:rsid w:val="4DAC0334"/>
    <w:rsid w:val="5175428D"/>
    <w:rsid w:val="53C4433B"/>
    <w:rsid w:val="545C11F4"/>
    <w:rsid w:val="57EF5ECB"/>
    <w:rsid w:val="582C0B7E"/>
    <w:rsid w:val="59B23993"/>
    <w:rsid w:val="59F45752"/>
    <w:rsid w:val="5A807519"/>
    <w:rsid w:val="5C2710F9"/>
    <w:rsid w:val="5E317FAE"/>
    <w:rsid w:val="5E711D46"/>
    <w:rsid w:val="5EDB6B4A"/>
    <w:rsid w:val="615E6687"/>
    <w:rsid w:val="616421C6"/>
    <w:rsid w:val="62CF609E"/>
    <w:rsid w:val="63B62D83"/>
    <w:rsid w:val="643E547F"/>
    <w:rsid w:val="64E7316B"/>
    <w:rsid w:val="68F67A18"/>
    <w:rsid w:val="69FA35A8"/>
    <w:rsid w:val="6A995FA5"/>
    <w:rsid w:val="6AA51683"/>
    <w:rsid w:val="6D8E6A2F"/>
    <w:rsid w:val="6ED628CC"/>
    <w:rsid w:val="6EE83F45"/>
    <w:rsid w:val="6F371D0A"/>
    <w:rsid w:val="704E2D79"/>
    <w:rsid w:val="724608A4"/>
    <w:rsid w:val="76B06742"/>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4">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5">
    <w:name w:val="heading 3"/>
    <w:basedOn w:val="1"/>
    <w:next w:val="1"/>
    <w:link w:val="46"/>
    <w:qFormat/>
    <w:uiPriority w:val="9"/>
    <w:pPr>
      <w:keepNext/>
      <w:keepLines/>
      <w:spacing w:before="260" w:after="260" w:line="416" w:lineRule="auto"/>
      <w:outlineLvl w:val="2"/>
    </w:pPr>
    <w:rPr>
      <w:b/>
      <w:bCs/>
      <w:sz w:val="32"/>
      <w:szCs w:val="32"/>
    </w:rPr>
  </w:style>
  <w:style w:type="paragraph" w:styleId="6">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7">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toc 7"/>
    <w:basedOn w:val="1"/>
    <w:next w:val="1"/>
    <w:semiHidden/>
    <w:qFormat/>
    <w:uiPriority w:val="0"/>
    <w:pPr>
      <w:ind w:left="2520" w:leftChars="1200"/>
    </w:pPr>
  </w:style>
  <w:style w:type="paragraph" w:styleId="9">
    <w:name w:val="List Bullet 4"/>
    <w:basedOn w:val="1"/>
    <w:qFormat/>
    <w:uiPriority w:val="0"/>
    <w:pPr>
      <w:tabs>
        <w:tab w:val="left" w:pos="1620"/>
      </w:tabs>
    </w:pPr>
    <w:rPr>
      <w:szCs w:val="20"/>
    </w:rPr>
  </w:style>
  <w:style w:type="paragraph" w:styleId="10">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1">
    <w:name w:val="List Bullet"/>
    <w:basedOn w:val="1"/>
    <w:qFormat/>
    <w:uiPriority w:val="0"/>
    <w:pPr>
      <w:tabs>
        <w:tab w:val="left" w:pos="360"/>
      </w:tabs>
      <w:ind w:left="360"/>
    </w:pPr>
    <w:rPr>
      <w:szCs w:val="20"/>
    </w:rPr>
  </w:style>
  <w:style w:type="paragraph" w:styleId="12">
    <w:name w:val="Document Map"/>
    <w:basedOn w:val="1"/>
    <w:link w:val="45"/>
    <w:qFormat/>
    <w:uiPriority w:val="0"/>
    <w:pPr>
      <w:shd w:val="clear" w:color="auto" w:fill="000080"/>
    </w:pPr>
  </w:style>
  <w:style w:type="paragraph" w:styleId="13">
    <w:name w:val="annotation text"/>
    <w:basedOn w:val="1"/>
    <w:link w:val="68"/>
    <w:qFormat/>
    <w:uiPriority w:val="99"/>
    <w:pPr>
      <w:jc w:val="left"/>
    </w:pPr>
  </w:style>
  <w:style w:type="paragraph" w:styleId="14">
    <w:name w:val="Body Text 3"/>
    <w:basedOn w:val="1"/>
    <w:link w:val="67"/>
    <w:qFormat/>
    <w:uiPriority w:val="0"/>
    <w:pPr>
      <w:spacing w:after="120"/>
    </w:pPr>
    <w:rPr>
      <w:sz w:val="16"/>
      <w:szCs w:val="16"/>
    </w:rPr>
  </w:style>
  <w:style w:type="paragraph" w:styleId="15">
    <w:name w:val="Body Text"/>
    <w:basedOn w:val="1"/>
    <w:link w:val="52"/>
    <w:qFormat/>
    <w:uiPriority w:val="0"/>
    <w:rPr>
      <w:rFonts w:ascii="宋体" w:hAnsi="宋体"/>
      <w:b/>
      <w:szCs w:val="28"/>
    </w:rPr>
  </w:style>
  <w:style w:type="paragraph" w:styleId="16">
    <w:name w:val="Body Text Indent"/>
    <w:basedOn w:val="1"/>
    <w:qFormat/>
    <w:uiPriority w:val="0"/>
    <w:pPr>
      <w:ind w:firstLine="540"/>
    </w:pPr>
    <w:rPr>
      <w:sz w:val="28"/>
      <w:szCs w:val="20"/>
    </w:rPr>
  </w:style>
  <w:style w:type="paragraph" w:styleId="17">
    <w:name w:val="List Bullet 2"/>
    <w:basedOn w:val="1"/>
    <w:qFormat/>
    <w:uiPriority w:val="0"/>
    <w:pPr>
      <w:tabs>
        <w:tab w:val="left" w:pos="780"/>
      </w:tabs>
    </w:pPr>
    <w:rPr>
      <w:szCs w:val="20"/>
    </w:rPr>
  </w:style>
  <w:style w:type="paragraph" w:styleId="18">
    <w:name w:val="toc 5"/>
    <w:basedOn w:val="1"/>
    <w:next w:val="1"/>
    <w:semiHidden/>
    <w:qFormat/>
    <w:uiPriority w:val="0"/>
    <w:pPr>
      <w:ind w:left="1680" w:leftChars="800"/>
    </w:pPr>
  </w:style>
  <w:style w:type="paragraph" w:styleId="19">
    <w:name w:val="toc 3"/>
    <w:basedOn w:val="1"/>
    <w:next w:val="1"/>
    <w:semiHidden/>
    <w:qFormat/>
    <w:uiPriority w:val="0"/>
    <w:pPr>
      <w:ind w:left="840" w:leftChars="400"/>
    </w:pPr>
  </w:style>
  <w:style w:type="paragraph" w:styleId="20">
    <w:name w:val="Plain Text"/>
    <w:basedOn w:val="1"/>
    <w:link w:val="65"/>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 w:val="32"/>
      <w:szCs w:val="20"/>
    </w:rPr>
  </w:style>
  <w:style w:type="paragraph" w:styleId="23">
    <w:name w:val="Body Text Indent 2"/>
    <w:basedOn w:val="1"/>
    <w:qFormat/>
    <w:uiPriority w:val="0"/>
    <w:pPr>
      <w:adjustRightInd w:val="0"/>
      <w:snapToGrid w:val="0"/>
      <w:spacing w:line="300" w:lineRule="auto"/>
      <w:ind w:firstLine="630" w:firstLineChars="300"/>
    </w:pPr>
    <w:rPr>
      <w:snapToGrid w:val="0"/>
      <w:kern w:val="0"/>
    </w:rPr>
  </w:style>
  <w:style w:type="paragraph" w:styleId="24">
    <w:name w:val="Balloon Text"/>
    <w:basedOn w:val="1"/>
    <w:link w:val="71"/>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20"/>
    </w:rPr>
  </w:style>
  <w:style w:type="paragraph" w:styleId="26">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ind w:left="1260" w:leftChars="600"/>
    </w:pPr>
  </w:style>
  <w:style w:type="paragraph" w:styleId="29">
    <w:name w:val="toc 6"/>
    <w:basedOn w:val="1"/>
    <w:next w:val="1"/>
    <w:semiHidden/>
    <w:qFormat/>
    <w:uiPriority w:val="0"/>
    <w:pPr>
      <w:ind w:left="2100" w:leftChars="1000"/>
    </w:pPr>
  </w:style>
  <w:style w:type="paragraph" w:styleId="30">
    <w:name w:val="Body Text Indent 3"/>
    <w:basedOn w:val="1"/>
    <w:qFormat/>
    <w:uiPriority w:val="0"/>
    <w:pPr>
      <w:adjustRightInd w:val="0"/>
      <w:snapToGrid w:val="0"/>
      <w:spacing w:line="300" w:lineRule="auto"/>
      <w:ind w:firstLine="420" w:firstLineChars="200"/>
    </w:pPr>
    <w:rPr>
      <w:rFonts w:ascii="宋体"/>
    </w:rPr>
  </w:style>
  <w:style w:type="paragraph" w:styleId="31">
    <w:name w:val="toc 2"/>
    <w:basedOn w:val="1"/>
    <w:next w:val="1"/>
    <w:semiHidden/>
    <w:qFormat/>
    <w:uiPriority w:val="0"/>
    <w:pPr>
      <w:ind w:left="420" w:leftChars="200"/>
    </w:pPr>
  </w:style>
  <w:style w:type="paragraph" w:styleId="32">
    <w:name w:val="toc 9"/>
    <w:basedOn w:val="1"/>
    <w:next w:val="1"/>
    <w:semiHidden/>
    <w:qFormat/>
    <w:uiPriority w:val="0"/>
    <w:pPr>
      <w:ind w:left="3360" w:leftChars="1600"/>
    </w:pPr>
  </w:style>
  <w:style w:type="paragraph" w:styleId="33">
    <w:name w:val="Body Text 2"/>
    <w:basedOn w:val="1"/>
    <w:qFormat/>
    <w:uiPriority w:val="0"/>
    <w:pPr>
      <w:spacing w:after="120" w:line="480" w:lineRule="auto"/>
    </w:pPr>
  </w:style>
  <w:style w:type="paragraph" w:styleId="34">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annotation subject"/>
    <w:basedOn w:val="13"/>
    <w:next w:val="13"/>
    <w:link w:val="58"/>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99"/>
    <w:rPr>
      <w:sz w:val="21"/>
      <w:szCs w:val="21"/>
    </w:rPr>
  </w:style>
  <w:style w:type="character" w:customStyle="1" w:styleId="45">
    <w:name w:val="文档结构图 Char"/>
    <w:link w:val="12"/>
    <w:qFormat/>
    <w:uiPriority w:val="0"/>
    <w:rPr>
      <w:kern w:val="2"/>
      <w:sz w:val="21"/>
      <w:szCs w:val="24"/>
      <w:shd w:val="clear" w:color="auto" w:fill="000080"/>
    </w:rPr>
  </w:style>
  <w:style w:type="character" w:customStyle="1" w:styleId="46">
    <w:name w:val="标题 3 Char"/>
    <w:link w:val="5"/>
    <w:qFormat/>
    <w:uiPriority w:val="9"/>
    <w:rPr>
      <w:b/>
      <w:bCs/>
      <w:kern w:val="2"/>
      <w:sz w:val="32"/>
      <w:szCs w:val="32"/>
    </w:rPr>
  </w:style>
  <w:style w:type="character" w:customStyle="1" w:styleId="47">
    <w:name w:val="ca-3"/>
    <w:basedOn w:val="39"/>
    <w:qFormat/>
    <w:uiPriority w:val="0"/>
  </w:style>
  <w:style w:type="character" w:customStyle="1" w:styleId="48">
    <w:name w:val="c lh15"/>
    <w:basedOn w:val="39"/>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4"/>
    <w:qFormat/>
    <w:uiPriority w:val="0"/>
    <w:rPr>
      <w:rFonts w:ascii="Arial Unicode MS" w:hAnsi="Arial Unicode MS" w:eastAsia="Arial Unicode MS" w:cs="Arial Unicode MS"/>
      <w:color w:val="000000"/>
    </w:rPr>
  </w:style>
  <w:style w:type="character" w:customStyle="1" w:styleId="51">
    <w:name w:val="页眉 Char"/>
    <w:link w:val="26"/>
    <w:qFormat/>
    <w:uiPriority w:val="99"/>
    <w:rPr>
      <w:kern w:val="2"/>
      <w:sz w:val="18"/>
      <w:szCs w:val="18"/>
    </w:rPr>
  </w:style>
  <w:style w:type="character" w:customStyle="1" w:styleId="52">
    <w:name w:val="正文文本 Char"/>
    <w:link w:val="15"/>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4"/>
    <w:qFormat/>
    <w:uiPriority w:val="0"/>
    <w:rPr>
      <w:rFonts w:ascii="Arial" w:hAnsi="Arial" w:eastAsia="宋体"/>
      <w:b/>
      <w:bCs/>
      <w:kern w:val="2"/>
      <w:sz w:val="32"/>
      <w:szCs w:val="32"/>
      <w:lang w:val="en-US" w:eastAsia="zh-CN" w:bidi="ar-SA"/>
    </w:rPr>
  </w:style>
  <w:style w:type="character" w:customStyle="1" w:styleId="55">
    <w:name w:val="content"/>
    <w:basedOn w:val="39"/>
    <w:qFormat/>
    <w:uiPriority w:val="0"/>
  </w:style>
  <w:style w:type="character" w:customStyle="1" w:styleId="56">
    <w:name w:val="标题 4 Char"/>
    <w:link w:val="6"/>
    <w:qFormat/>
    <w:uiPriority w:val="9"/>
    <w:rPr>
      <w:rFonts w:ascii="华文中宋" w:hAnsi="华文中宋" w:eastAsia="华文中宋"/>
      <w:b/>
      <w:bCs/>
      <w:kern w:val="2"/>
      <w:sz w:val="28"/>
    </w:rPr>
  </w:style>
  <w:style w:type="character" w:customStyle="1" w:styleId="57">
    <w:name w:val="正文缩进 Char"/>
    <w:link w:val="10"/>
    <w:qFormat/>
    <w:uiPriority w:val="0"/>
    <w:rPr>
      <w:sz w:val="24"/>
    </w:rPr>
  </w:style>
  <w:style w:type="character" w:customStyle="1" w:styleId="58">
    <w:name w:val="批注主题 Char"/>
    <w:link w:val="36"/>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9"/>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5"/>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20"/>
    <w:qFormat/>
    <w:uiPriority w:val="0"/>
    <w:rPr>
      <w:rFonts w:ascii="宋体" w:hAnsi="Courier New"/>
      <w:kern w:val="2"/>
      <w:sz w:val="21"/>
    </w:rPr>
  </w:style>
  <w:style w:type="character" w:customStyle="1" w:styleId="66">
    <w:name w:val="text21"/>
    <w:basedOn w:val="39"/>
    <w:qFormat/>
    <w:uiPriority w:val="0"/>
  </w:style>
  <w:style w:type="character" w:customStyle="1" w:styleId="67">
    <w:name w:val="正文文本 3 Char"/>
    <w:link w:val="14"/>
    <w:qFormat/>
    <w:uiPriority w:val="0"/>
    <w:rPr>
      <w:kern w:val="2"/>
      <w:sz w:val="16"/>
      <w:szCs w:val="16"/>
    </w:rPr>
  </w:style>
  <w:style w:type="character" w:customStyle="1" w:styleId="68">
    <w:name w:val="批注文字 Char"/>
    <w:link w:val="13"/>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3"/>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4"/>
    <w:semiHidden/>
    <w:qFormat/>
    <w:uiPriority w:val="99"/>
    <w:rPr>
      <w:kern w:val="2"/>
      <w:sz w:val="18"/>
      <w:szCs w:val="18"/>
    </w:rPr>
  </w:style>
  <w:style w:type="character" w:customStyle="1" w:styleId="72">
    <w:name w:val="标题 5 Char"/>
    <w:link w:val="7"/>
    <w:semiHidden/>
    <w:qFormat/>
    <w:uiPriority w:val="0"/>
    <w:rPr>
      <w:b/>
      <w:bCs/>
      <w:kern w:val="2"/>
      <w:sz w:val="28"/>
      <w:szCs w:val="28"/>
    </w:rPr>
  </w:style>
  <w:style w:type="paragraph" w:customStyle="1" w:styleId="73">
    <w:name w:val="8"/>
    <w:basedOn w:val="1"/>
    <w:next w:val="20"/>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20"/>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3"/>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20"/>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20"/>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20"/>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5"/>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20"/>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111</Words>
  <Characters>111</Characters>
  <Lines>19</Lines>
  <Paragraphs>5</Paragraphs>
  <TotalTime>0</TotalTime>
  <ScaleCrop>false</ScaleCrop>
  <LinksUpToDate>false</LinksUpToDate>
  <CharactersWithSpaces>216</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2026-07-06T01:09:28Z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149431FE8F1440CE912EB75CF70D9AE7_13</vt:lpwstr>
  </property>
  <property fmtid="{D5CDD505-2E9C-101B-9397-08002B2CF9AE}" pid="4" name="KSOTemplateDocerSaveRecord">
    <vt:lpwstr>eyJoZGlkIjoiYjg0ODgxMzg4ODEyOTJlMDkxNGQ4NjQ1OGFmNWMxYmMiLCJ1c2VySWQiOiI5MzM0MzE0MjkifQ==</vt:lpwstr>
  </property>
</Properties>
</file>