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F69FA">
      <w:pPr>
        <w:spacing w:line="360" w:lineRule="auto"/>
        <w:jc w:val="center"/>
        <w:rPr>
          <w:rFonts w:hint="eastAsia" w:ascii="黑体" w:hAnsi="黑体" w:cs="Times New Roman" w:eastAsiaTheme="majorEastAsia"/>
          <w:sz w:val="32"/>
          <w:szCs w:val="32"/>
          <w:lang w:eastAsia="zh-CN"/>
        </w:rPr>
      </w:pPr>
      <w:r>
        <w:rPr>
          <w:rFonts w:hint="eastAsia" w:asciiTheme="majorEastAsia" w:hAnsiTheme="majorEastAsia" w:eastAsiaTheme="majorEastAsia" w:cstheme="majorEastAsia"/>
          <w:color w:val="000000"/>
          <w:sz w:val="44"/>
          <w:szCs w:val="44"/>
          <w:shd w:val="clear" w:color="auto" w:fill="FFFFFF"/>
          <w:lang w:val="en-US" w:eastAsia="zh-CN"/>
        </w:rPr>
        <w:t>年度配送服务采购项目需求</w:t>
      </w:r>
    </w:p>
    <w:p w14:paraId="53938B99">
      <w:pPr>
        <w:spacing w:line="360" w:lineRule="auto"/>
        <w:jc w:val="left"/>
        <w:rPr>
          <w:rFonts w:hint="eastAsia" w:ascii="黑体" w:hAnsi="黑体" w:eastAsia="黑体" w:cs="Times New Roman"/>
          <w:sz w:val="32"/>
          <w:szCs w:val="32"/>
          <w:lang w:val="en-US" w:eastAsia="zh-CN"/>
        </w:rPr>
      </w:pPr>
    </w:p>
    <w:p w14:paraId="27F1B77D">
      <w:pPr>
        <w:spacing w:line="360" w:lineRule="auto"/>
        <w:jc w:val="left"/>
        <w:rPr>
          <w:rFonts w:ascii="黑体" w:hAnsi="黑体" w:eastAsia="黑体" w:cs="Times New Roman"/>
          <w:sz w:val="32"/>
          <w:szCs w:val="32"/>
        </w:rPr>
      </w:pPr>
      <w:r>
        <w:rPr>
          <w:rFonts w:hint="eastAsia" w:ascii="黑体" w:hAnsi="黑体" w:eastAsia="黑体" w:cs="Times New Roman"/>
          <w:sz w:val="32"/>
          <w:szCs w:val="32"/>
          <w:lang w:val="en-US" w:eastAsia="zh-CN"/>
        </w:rPr>
        <w:t>一、</w:t>
      </w:r>
      <w:r>
        <w:rPr>
          <w:rFonts w:hint="eastAsia" w:ascii="黑体" w:hAnsi="黑体" w:eastAsia="黑体" w:cs="Times New Roman"/>
          <w:sz w:val="32"/>
          <w:szCs w:val="32"/>
        </w:rPr>
        <w:t>项目概况</w:t>
      </w:r>
    </w:p>
    <w:p w14:paraId="3C5848B5">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1.项目名称：深圳市南山区医疗集团总部</w:t>
      </w:r>
      <w:r>
        <w:rPr>
          <w:rFonts w:hint="eastAsia" w:ascii="仿宋" w:hAnsi="仿宋" w:eastAsia="仿宋" w:cs="Times New Roman"/>
          <w:b w:val="0"/>
          <w:bCs/>
          <w:color w:val="auto"/>
          <w:sz w:val="28"/>
          <w:szCs w:val="28"/>
          <w:highlight w:val="none"/>
          <w:u w:val="none"/>
          <w:lang w:val="en-US" w:eastAsia="zh-CN"/>
        </w:rPr>
        <w:t>年度配送服务项目</w:t>
      </w:r>
      <w:r>
        <w:rPr>
          <w:rFonts w:hint="eastAsia" w:ascii="仿宋" w:hAnsi="仿宋" w:eastAsia="仿宋" w:cs="Times New Roman"/>
          <w:b w:val="0"/>
          <w:bCs/>
          <w:color w:val="auto"/>
          <w:sz w:val="28"/>
          <w:szCs w:val="28"/>
          <w:highlight w:val="none"/>
          <w:u w:val="none"/>
        </w:rPr>
        <w:t>。</w:t>
      </w:r>
    </w:p>
    <w:p w14:paraId="445D471C">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2.经费预算：人民币</w:t>
      </w:r>
      <w:r>
        <w:rPr>
          <w:rFonts w:hint="eastAsia" w:ascii="仿宋" w:hAnsi="仿宋" w:eastAsia="仿宋" w:cs="Times New Roman"/>
          <w:b w:val="0"/>
          <w:bCs/>
          <w:color w:val="auto"/>
          <w:sz w:val="28"/>
          <w:szCs w:val="28"/>
          <w:highlight w:val="none"/>
          <w:u w:val="none"/>
          <w:lang w:val="en-US" w:eastAsia="zh-CN"/>
        </w:rPr>
        <w:t>300</w:t>
      </w:r>
      <w:r>
        <w:rPr>
          <w:rFonts w:hint="eastAsia" w:ascii="仿宋" w:hAnsi="仿宋" w:eastAsia="仿宋" w:cs="Times New Roman"/>
          <w:b w:val="0"/>
          <w:bCs/>
          <w:color w:val="auto"/>
          <w:sz w:val="28"/>
          <w:szCs w:val="28"/>
          <w:highlight w:val="none"/>
          <w:u w:val="none"/>
        </w:rPr>
        <w:t>万元</w:t>
      </w:r>
    </w:p>
    <w:p w14:paraId="2CAD0359">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rPr>
        <w:t>3.预算及报价费用包括</w:t>
      </w:r>
      <w:r>
        <w:rPr>
          <w:rFonts w:hint="eastAsia" w:ascii="仿宋" w:hAnsi="仿宋" w:eastAsia="仿宋" w:cs="Times New Roman"/>
          <w:b w:val="0"/>
          <w:bCs/>
          <w:color w:val="auto"/>
          <w:sz w:val="28"/>
          <w:szCs w:val="28"/>
          <w:highlight w:val="none"/>
          <w:u w:val="none"/>
          <w:lang w:eastAsia="zh-CN"/>
        </w:rPr>
        <w:t>：</w:t>
      </w:r>
    </w:p>
    <w:p w14:paraId="5688822F">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rPr>
        <w:t>本项目采用全包干总价模式，</w:t>
      </w:r>
      <w:r>
        <w:rPr>
          <w:rFonts w:hint="eastAsia" w:ascii="仿宋" w:hAnsi="仿宋" w:eastAsia="仿宋" w:cs="Times New Roman"/>
          <w:b w:val="0"/>
          <w:bCs/>
          <w:color w:val="auto"/>
          <w:sz w:val="28"/>
          <w:szCs w:val="28"/>
          <w:highlight w:val="none"/>
          <w:u w:val="none"/>
          <w:lang w:val="en-US" w:eastAsia="zh-CN"/>
        </w:rPr>
        <w:t>费用</w:t>
      </w:r>
      <w:r>
        <w:rPr>
          <w:rFonts w:hint="eastAsia" w:ascii="仿宋" w:hAnsi="仿宋" w:eastAsia="仿宋" w:cs="Times New Roman"/>
          <w:b w:val="0"/>
          <w:bCs/>
          <w:color w:val="auto"/>
          <w:sz w:val="28"/>
          <w:szCs w:val="28"/>
          <w:highlight w:val="none"/>
          <w:u w:val="none"/>
        </w:rPr>
        <w:t>包含</w:t>
      </w:r>
      <w:r>
        <w:rPr>
          <w:rFonts w:hint="eastAsia" w:ascii="仿宋" w:hAnsi="仿宋" w:eastAsia="仿宋" w:cs="Times New Roman"/>
          <w:b w:val="0"/>
          <w:bCs/>
          <w:color w:val="auto"/>
          <w:sz w:val="28"/>
          <w:szCs w:val="28"/>
          <w:highlight w:val="none"/>
          <w:u w:val="none"/>
          <w:lang w:eastAsia="zh-CN"/>
        </w:rPr>
        <w:t>且</w:t>
      </w:r>
      <w:r>
        <w:rPr>
          <w:rFonts w:hint="eastAsia" w:ascii="仿宋" w:hAnsi="仿宋" w:eastAsia="仿宋" w:cs="Times New Roman"/>
          <w:b w:val="0"/>
          <w:bCs/>
          <w:color w:val="auto"/>
          <w:sz w:val="28"/>
          <w:szCs w:val="28"/>
          <w:highlight w:val="none"/>
          <w:u w:val="none"/>
        </w:rPr>
        <w:t>不限于</w:t>
      </w:r>
      <w:r>
        <w:rPr>
          <w:rFonts w:hint="eastAsia" w:ascii="仿宋" w:hAnsi="仿宋" w:eastAsia="仿宋" w:cs="Times New Roman"/>
          <w:b w:val="0"/>
          <w:bCs/>
          <w:color w:val="auto"/>
          <w:sz w:val="28"/>
          <w:szCs w:val="28"/>
          <w:highlight w:val="none"/>
          <w:u w:val="none"/>
          <w:lang w:val="en-US" w:eastAsia="zh-CN"/>
        </w:rPr>
        <w:t>以下合同实施过程中应预见和不可预见的全部费用</w:t>
      </w:r>
      <w:r>
        <w:rPr>
          <w:rFonts w:hint="eastAsia" w:ascii="仿宋" w:hAnsi="仿宋" w:eastAsia="仿宋" w:cs="Times New Roman"/>
          <w:b w:val="0"/>
          <w:bCs/>
          <w:color w:val="auto"/>
          <w:sz w:val="28"/>
          <w:szCs w:val="28"/>
          <w:highlight w:val="none"/>
          <w:u w:val="none"/>
        </w:rPr>
        <w:t>：</w:t>
      </w:r>
    </w:p>
    <w:p w14:paraId="193FEFB4">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eastAsia="zh-CN"/>
        </w:rPr>
        <w:t>（1）服务实施费用：覆盖本文件约定的全部服务内容。</w:t>
      </w:r>
    </w:p>
    <w:p w14:paraId="6BF56DDB">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eastAsia="zh-CN"/>
        </w:rPr>
        <w:t>（2）直接成本：服务人员工资、社会社保、公积金、高温补贴、福利费、餐费、加班费、体检费、工服费等用工成本；驻点所需办公用品；车辆油费、停车费、维修保养费、清洗费和保险费等；相关设施设备的配备等。</w:t>
      </w:r>
    </w:p>
    <w:p w14:paraId="072A9E1E">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eastAsia="zh-CN"/>
        </w:rPr>
        <w:t>（3）间接成本：税费（增值税及附加等法定税费）、项目管理费、企业利润、合同履行期内可预见及不可预见的费用（如合同期内可能发生的应急事件处理、服务范围微调、极端天气应对等不可预见费用）。</w:t>
      </w:r>
    </w:p>
    <w:p w14:paraId="21FA76B0">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eastAsia="zh-CN"/>
        </w:rPr>
        <w:t>（4）系统与技术成本：人员考勤打卡系统及系统维护。</w:t>
      </w:r>
    </w:p>
    <w:p w14:paraId="0A71D249">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4.项目简介与总体要求：</w:t>
      </w:r>
    </w:p>
    <w:p w14:paraId="2C68272A">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覆盖深圳市南山区医疗集团总部、下设87家社区健康服务机构、1家培训中心、1家药品配送中心及</w:t>
      </w:r>
      <w:r>
        <w:rPr>
          <w:rFonts w:hint="eastAsia" w:ascii="仿宋" w:hAnsi="仿宋" w:eastAsia="仿宋" w:cs="Times New Roman"/>
          <w:b w:val="0"/>
          <w:bCs/>
          <w:color w:val="auto"/>
          <w:sz w:val="28"/>
          <w:szCs w:val="28"/>
          <w:highlight w:val="none"/>
          <w:u w:val="none"/>
          <w:lang w:val="en-US" w:eastAsia="zh-CN"/>
        </w:rPr>
        <w:t>5</w:t>
      </w:r>
      <w:r>
        <w:rPr>
          <w:rFonts w:hint="eastAsia" w:ascii="仿宋" w:hAnsi="仿宋" w:eastAsia="仿宋" w:cs="Times New Roman"/>
          <w:b w:val="0"/>
          <w:bCs/>
          <w:color w:val="auto"/>
          <w:sz w:val="28"/>
          <w:szCs w:val="28"/>
          <w:highlight w:val="none"/>
          <w:u w:val="none"/>
        </w:rPr>
        <w:t>个仓储等所有服务点位，全面保障常态化及应急响应配送相关需求。现通过公开招标方式选聘具备医疗卫生机构后勤配送服务经验的专业投标人，提供一体化、全覆盖、标准化的后勤配送服务，服务内容及要求概况如下：</w:t>
      </w:r>
    </w:p>
    <w:p w14:paraId="0631AC0A">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lang w:eastAsia="zh-CN"/>
        </w:rPr>
        <w:t>（</w:t>
      </w:r>
      <w:r>
        <w:rPr>
          <w:rFonts w:hint="eastAsia" w:ascii="仿宋" w:hAnsi="仿宋" w:eastAsia="仿宋" w:cs="Times New Roman"/>
          <w:b w:val="0"/>
          <w:bCs/>
          <w:color w:val="auto"/>
          <w:sz w:val="28"/>
          <w:szCs w:val="28"/>
          <w:highlight w:val="none"/>
          <w:u w:val="none"/>
          <w:lang w:val="en-US" w:eastAsia="zh-CN"/>
        </w:rPr>
        <w:t>1</w:t>
      </w:r>
      <w:r>
        <w:rPr>
          <w:rFonts w:hint="eastAsia" w:ascii="仿宋" w:hAnsi="仿宋" w:eastAsia="仿宋" w:cs="Times New Roman"/>
          <w:b w:val="0"/>
          <w:bCs/>
          <w:color w:val="auto"/>
          <w:sz w:val="28"/>
          <w:szCs w:val="28"/>
          <w:highlight w:val="none"/>
          <w:u w:val="none"/>
          <w:lang w:eastAsia="zh-CN"/>
        </w:rPr>
        <w:t>）覆盖范围：覆盖深圳市南山区医疗集团总部、下设87家社区健康服务机构、1家培训中心、1家药品配送中心及</w:t>
      </w:r>
      <w:r>
        <w:rPr>
          <w:rFonts w:hint="eastAsia" w:ascii="仿宋" w:hAnsi="仿宋" w:eastAsia="仿宋" w:cs="Times New Roman"/>
          <w:b w:val="0"/>
          <w:bCs/>
          <w:color w:val="auto"/>
          <w:sz w:val="28"/>
          <w:szCs w:val="28"/>
          <w:highlight w:val="none"/>
          <w:u w:val="none"/>
          <w:lang w:val="en-US" w:eastAsia="zh-CN"/>
        </w:rPr>
        <w:t>5</w:t>
      </w:r>
      <w:bookmarkStart w:id="0" w:name="_GoBack"/>
      <w:bookmarkEnd w:id="0"/>
      <w:r>
        <w:rPr>
          <w:rFonts w:hint="eastAsia" w:ascii="仿宋" w:hAnsi="仿宋" w:eastAsia="仿宋" w:cs="Times New Roman"/>
          <w:b w:val="0"/>
          <w:bCs/>
          <w:color w:val="auto"/>
          <w:sz w:val="28"/>
          <w:szCs w:val="28"/>
          <w:highlight w:val="none"/>
          <w:u w:val="none"/>
          <w:lang w:eastAsia="zh-CN"/>
        </w:rPr>
        <w:t>个仓储等所有服务点位，全面保障常态化及应急响应配送相关需求。服务范围包含现有全部点位，后续新增社康机构及服务点位将自动纳入服务范畴，且不额外收取服务费用。</w:t>
      </w:r>
    </w:p>
    <w:p w14:paraId="2551406D">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w:t>
      </w:r>
      <w:r>
        <w:rPr>
          <w:rFonts w:hint="eastAsia" w:ascii="仿宋" w:hAnsi="仿宋" w:eastAsia="仿宋" w:cs="Times New Roman"/>
          <w:b w:val="0"/>
          <w:bCs/>
          <w:color w:val="auto"/>
          <w:sz w:val="28"/>
          <w:szCs w:val="28"/>
          <w:highlight w:val="none"/>
          <w:u w:val="none"/>
          <w:lang w:val="en-US" w:eastAsia="zh-CN"/>
        </w:rPr>
        <w:t>2</w:t>
      </w:r>
      <w:r>
        <w:rPr>
          <w:rFonts w:hint="eastAsia" w:ascii="仿宋" w:hAnsi="仿宋" w:eastAsia="仿宋" w:cs="Times New Roman"/>
          <w:b w:val="0"/>
          <w:bCs/>
          <w:color w:val="auto"/>
          <w:sz w:val="28"/>
          <w:szCs w:val="28"/>
          <w:highlight w:val="none"/>
          <w:u w:val="none"/>
        </w:rPr>
        <w:t>）总体服务要求：提供全部区域的常态化及应急响应配送服务，严格遵循医疗行业规范、院感防控及医用气体安全管理等专项要求，安全、及时、无差别配送包括但不限于小型设备、小型家具、低值易耗品、各类日常办公物资、全品类医用耗材（含高值/特殊耗材）、消毒供应物资、感染性/非感染性布草、医用气体、疫苗、药品、消防物资、发票、流转单、处方、文件等各类物品，并具备相应的冷链温控、防损包装、隐私保密、专车专人及闭环交接等的全流程管控措施。</w:t>
      </w:r>
    </w:p>
    <w:p w14:paraId="110116BE">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w:t>
      </w:r>
      <w:r>
        <w:rPr>
          <w:rFonts w:hint="eastAsia" w:ascii="仿宋" w:hAnsi="仿宋" w:eastAsia="仿宋" w:cs="Times New Roman"/>
          <w:b w:val="0"/>
          <w:bCs/>
          <w:color w:val="auto"/>
          <w:sz w:val="28"/>
          <w:szCs w:val="28"/>
          <w:highlight w:val="none"/>
          <w:u w:val="none"/>
          <w:lang w:val="en-US" w:eastAsia="zh-CN"/>
        </w:rPr>
        <w:t>3</w:t>
      </w:r>
      <w:r>
        <w:rPr>
          <w:rFonts w:hint="eastAsia" w:ascii="仿宋" w:hAnsi="仿宋" w:eastAsia="仿宋" w:cs="Times New Roman"/>
          <w:b w:val="0"/>
          <w:bCs/>
          <w:color w:val="auto"/>
          <w:sz w:val="28"/>
          <w:szCs w:val="28"/>
          <w:highlight w:val="none"/>
          <w:u w:val="none"/>
        </w:rPr>
        <w:t>）配送路线：投标人须依据点位分布科学规划配送路线与频次，承担包括但不限于区医疗集团总部、各社康机构、区级医疗机构、仓库、药品配送中心、培训中心之间的双向或多向物资转运任务，全面保障常态化及应急状态下的配送需求，本项目采用总价包干形式，服务期内不因点位增减、路线调整或业务量波动而调整合同总金额。</w:t>
      </w:r>
    </w:p>
    <w:p w14:paraId="2923E975">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p>
    <w:p w14:paraId="10760E29">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p>
    <w:p w14:paraId="4DC5A094">
      <w:pPr>
        <w:spacing w:line="360" w:lineRule="auto"/>
        <w:jc w:val="left"/>
        <w:rPr>
          <w:rFonts w:ascii="黑体" w:hAnsi="黑体" w:eastAsia="黑体" w:cs="Times New Roman"/>
          <w:b w:val="0"/>
          <w:bCs/>
          <w:color w:val="auto"/>
          <w:sz w:val="32"/>
          <w:szCs w:val="32"/>
          <w:highlight w:val="none"/>
          <w:u w:val="none"/>
        </w:rPr>
      </w:pPr>
      <w:r>
        <w:rPr>
          <w:rFonts w:hint="eastAsia" w:ascii="黑体" w:hAnsi="黑体" w:eastAsia="黑体" w:cs="Times New Roman"/>
          <w:b w:val="0"/>
          <w:bCs/>
          <w:color w:val="auto"/>
          <w:sz w:val="32"/>
          <w:szCs w:val="32"/>
          <w:highlight w:val="none"/>
          <w:u w:val="none"/>
          <w:lang w:val="en-US" w:eastAsia="zh-CN"/>
        </w:rPr>
        <w:t>二</w:t>
      </w:r>
      <w:r>
        <w:rPr>
          <w:rFonts w:hint="eastAsia" w:ascii="黑体" w:hAnsi="黑体" w:eastAsia="黑体" w:cs="Times New Roman"/>
          <w:b w:val="0"/>
          <w:bCs/>
          <w:color w:val="auto"/>
          <w:sz w:val="32"/>
          <w:szCs w:val="32"/>
          <w:highlight w:val="none"/>
          <w:u w:val="none"/>
        </w:rPr>
        <w:t>、采购内容</w:t>
      </w:r>
    </w:p>
    <w:p w14:paraId="40941A98">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（一）具体服务内容</w:t>
      </w:r>
    </w:p>
    <w:p w14:paraId="75E58EF0">
      <w:pPr>
        <w:spacing w:line="360" w:lineRule="auto"/>
        <w:ind w:firstLine="560" w:firstLineChars="200"/>
        <w:rPr>
          <w:rFonts w:hint="default"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1.总体要求：配送计划须无条件完全响应采购人调度，7×24小时全时段提供固定排期配送、弹性预约配送及夜间/节假日/突发事件状态下应急响应配送服务;</w:t>
      </w:r>
    </w:p>
    <w:p w14:paraId="0B6822D6">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2.小型设备、小型家具、固定资产等配送；</w:t>
      </w:r>
    </w:p>
    <w:p w14:paraId="295AB27B">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val="en-US" w:eastAsia="zh-CN"/>
        </w:rPr>
        <w:t>3.</w:t>
      </w:r>
      <w:r>
        <w:rPr>
          <w:rFonts w:hint="eastAsia" w:ascii="仿宋" w:hAnsi="仿宋" w:eastAsia="仿宋" w:cs="Times New Roman"/>
          <w:b w:val="0"/>
          <w:bCs/>
          <w:color w:val="auto"/>
          <w:sz w:val="28"/>
          <w:szCs w:val="28"/>
          <w:highlight w:val="none"/>
          <w:u w:val="none"/>
        </w:rPr>
        <w:t>低值易耗品及办公物资配送</w:t>
      </w:r>
      <w:r>
        <w:rPr>
          <w:rFonts w:hint="eastAsia" w:ascii="仿宋" w:hAnsi="仿宋" w:eastAsia="仿宋" w:cs="Times New Roman"/>
          <w:b w:val="0"/>
          <w:bCs/>
          <w:color w:val="auto"/>
          <w:sz w:val="28"/>
          <w:szCs w:val="28"/>
          <w:highlight w:val="none"/>
          <w:u w:val="none"/>
          <w:lang w:eastAsia="zh-CN"/>
        </w:rPr>
        <w:t>；</w:t>
      </w:r>
    </w:p>
    <w:p w14:paraId="76D39410">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4.全品类医用耗材配送；</w:t>
      </w:r>
    </w:p>
    <w:p w14:paraId="1E014905">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5.</w:t>
      </w:r>
      <w:r>
        <w:rPr>
          <w:rFonts w:hint="eastAsia" w:ascii="仿宋" w:hAnsi="仿宋" w:eastAsia="仿宋" w:cs="Times New Roman"/>
          <w:b w:val="0"/>
          <w:bCs/>
          <w:color w:val="auto"/>
          <w:kern w:val="2"/>
          <w:sz w:val="28"/>
          <w:szCs w:val="28"/>
          <w:highlight w:val="none"/>
          <w:u w:val="none"/>
          <w:lang w:val="en-US" w:eastAsia="zh-CN" w:bidi="ar-SA"/>
        </w:rPr>
        <w:t>消毒供应物资配送</w:t>
      </w:r>
      <w:r>
        <w:rPr>
          <w:rFonts w:hint="eastAsia" w:ascii="仿宋" w:hAnsi="仿宋" w:eastAsia="仿宋" w:cs="Times New Roman"/>
          <w:b w:val="0"/>
          <w:bCs/>
          <w:color w:val="auto"/>
          <w:sz w:val="28"/>
          <w:szCs w:val="28"/>
          <w:highlight w:val="none"/>
          <w:u w:val="none"/>
          <w:lang w:val="en-US" w:eastAsia="zh-CN"/>
        </w:rPr>
        <w:t>；</w:t>
      </w:r>
    </w:p>
    <w:p w14:paraId="40A16585">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6.感染性/非感染性布草配送；</w:t>
      </w:r>
    </w:p>
    <w:p w14:paraId="69DEA3BC">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7.医用气体配送；</w:t>
      </w:r>
    </w:p>
    <w:p w14:paraId="13BE37F6">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8.药品、疫苗等配送；</w:t>
      </w:r>
    </w:p>
    <w:p w14:paraId="4CE96F13">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9.消防物资配送；</w:t>
      </w:r>
    </w:p>
    <w:p w14:paraId="348D4821">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10.发票、流转单、处方、文件等配送；</w:t>
      </w:r>
    </w:p>
    <w:p w14:paraId="0473F11D">
      <w:pPr>
        <w:spacing w:line="360" w:lineRule="auto"/>
        <w:ind w:firstLine="560" w:firstLineChars="200"/>
        <w:rPr>
          <w:rFonts w:hint="default"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11.应急响应;</w:t>
      </w:r>
    </w:p>
    <w:p w14:paraId="57EA51FD">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val="en-US" w:eastAsia="zh-CN"/>
        </w:rPr>
        <w:t>12.</w:t>
      </w:r>
      <w:r>
        <w:rPr>
          <w:rFonts w:hint="eastAsia" w:ascii="仿宋" w:hAnsi="仿宋" w:eastAsia="仿宋" w:cs="Times New Roman"/>
          <w:b w:val="0"/>
          <w:bCs/>
          <w:color w:val="auto"/>
          <w:sz w:val="28"/>
          <w:szCs w:val="28"/>
          <w:highlight w:val="none"/>
          <w:u w:val="none"/>
        </w:rPr>
        <w:t>协助</w:t>
      </w:r>
      <w:r>
        <w:rPr>
          <w:rFonts w:hint="eastAsia" w:ascii="仿宋" w:hAnsi="仿宋" w:eastAsia="仿宋" w:cs="Times New Roman"/>
          <w:b w:val="0"/>
          <w:bCs/>
          <w:color w:val="auto"/>
          <w:sz w:val="28"/>
          <w:szCs w:val="28"/>
          <w:highlight w:val="none"/>
          <w:u w:val="none"/>
          <w:lang w:val="en-US" w:eastAsia="zh-CN"/>
        </w:rPr>
        <w:t>集团</w:t>
      </w:r>
      <w:r>
        <w:rPr>
          <w:rFonts w:hint="eastAsia" w:ascii="仿宋" w:hAnsi="仿宋" w:eastAsia="仿宋" w:cs="Times New Roman"/>
          <w:b w:val="0"/>
          <w:bCs/>
          <w:color w:val="auto"/>
          <w:sz w:val="28"/>
          <w:szCs w:val="28"/>
          <w:highlight w:val="none"/>
          <w:u w:val="none"/>
        </w:rPr>
        <w:t>对</w:t>
      </w:r>
      <w:r>
        <w:rPr>
          <w:rFonts w:hint="eastAsia" w:ascii="仿宋" w:hAnsi="仿宋" w:eastAsia="仿宋" w:cs="Times New Roman"/>
          <w:b w:val="0"/>
          <w:bCs/>
          <w:color w:val="auto"/>
          <w:sz w:val="28"/>
          <w:szCs w:val="28"/>
          <w:highlight w:val="none"/>
          <w:u w:val="none"/>
          <w:lang w:val="en-US" w:eastAsia="zh-CN"/>
        </w:rPr>
        <w:t>集团提供的</w:t>
      </w:r>
      <w:r>
        <w:rPr>
          <w:rFonts w:hint="eastAsia" w:ascii="仿宋" w:hAnsi="仿宋" w:eastAsia="仿宋" w:cs="Times New Roman"/>
          <w:b w:val="0"/>
          <w:bCs/>
          <w:color w:val="auto"/>
          <w:sz w:val="28"/>
          <w:szCs w:val="28"/>
          <w:highlight w:val="none"/>
          <w:u w:val="none"/>
        </w:rPr>
        <w:t>自有车辆进行管理和维护保养工作，包括车辆司机的配备与服务、日常油耗的处理，负责车辆保险</w:t>
      </w:r>
      <w:r>
        <w:rPr>
          <w:rFonts w:hint="eastAsia" w:ascii="仿宋" w:hAnsi="仿宋" w:eastAsia="仿宋" w:cs="Times New Roman"/>
          <w:b w:val="0"/>
          <w:bCs/>
          <w:color w:val="auto"/>
          <w:sz w:val="28"/>
          <w:szCs w:val="28"/>
          <w:highlight w:val="none"/>
          <w:u w:val="none"/>
          <w:lang w:val="en-US" w:eastAsia="zh-CN"/>
        </w:rPr>
        <w:t>等事项</w:t>
      </w:r>
      <w:r>
        <w:rPr>
          <w:rFonts w:hint="eastAsia" w:ascii="仿宋" w:hAnsi="仿宋" w:eastAsia="仿宋" w:cs="Times New Roman"/>
          <w:b w:val="0"/>
          <w:bCs/>
          <w:color w:val="auto"/>
          <w:sz w:val="28"/>
          <w:szCs w:val="28"/>
          <w:highlight w:val="none"/>
          <w:u w:val="none"/>
        </w:rPr>
        <w:t>办理</w:t>
      </w:r>
      <w:r>
        <w:rPr>
          <w:rFonts w:hint="eastAsia" w:ascii="仿宋" w:hAnsi="仿宋" w:eastAsia="仿宋" w:cs="Times New Roman"/>
          <w:b w:val="0"/>
          <w:bCs/>
          <w:color w:val="auto"/>
          <w:sz w:val="28"/>
          <w:szCs w:val="28"/>
          <w:highlight w:val="none"/>
          <w:u w:val="none"/>
          <w:lang w:val="en-US" w:eastAsia="zh-CN"/>
        </w:rPr>
        <w:t>及</w:t>
      </w:r>
      <w:r>
        <w:rPr>
          <w:rFonts w:hint="eastAsia" w:ascii="仿宋" w:hAnsi="仿宋" w:eastAsia="仿宋" w:cs="Times New Roman"/>
          <w:b w:val="0"/>
          <w:bCs/>
          <w:color w:val="auto"/>
          <w:sz w:val="28"/>
          <w:szCs w:val="28"/>
          <w:highlight w:val="none"/>
          <w:u w:val="none"/>
        </w:rPr>
        <w:t>跟进</w:t>
      </w:r>
      <w:r>
        <w:rPr>
          <w:rFonts w:hint="eastAsia" w:ascii="仿宋" w:hAnsi="仿宋" w:eastAsia="仿宋" w:cs="Times New Roman"/>
          <w:b w:val="0"/>
          <w:bCs/>
          <w:color w:val="auto"/>
          <w:sz w:val="28"/>
          <w:szCs w:val="28"/>
          <w:highlight w:val="none"/>
          <w:u w:val="none"/>
          <w:lang w:eastAsia="zh-CN"/>
        </w:rPr>
        <w:t>；</w:t>
      </w:r>
    </w:p>
    <w:p w14:paraId="18CFD373">
      <w:pPr>
        <w:spacing w:line="360" w:lineRule="auto"/>
        <w:ind w:firstLine="560" w:firstLineChars="200"/>
        <w:rPr>
          <w:rFonts w:hint="default"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13.合同期内可能发生的应急事件处理、极端天气应对等不可预见的配送服务。</w:t>
      </w:r>
    </w:p>
    <w:p w14:paraId="43FEADB8">
      <w:pPr>
        <w:spacing w:line="360" w:lineRule="auto"/>
        <w:ind w:firstLine="64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32"/>
          <w:szCs w:val="32"/>
          <w:highlight w:val="none"/>
          <w:u w:val="none"/>
          <w:lang w:val="en-US" w:eastAsia="zh-CN"/>
        </w:rPr>
        <w:t>（二）</w:t>
      </w:r>
      <w:r>
        <w:rPr>
          <w:rFonts w:hint="eastAsia" w:ascii="仿宋" w:hAnsi="仿宋" w:eastAsia="仿宋" w:cs="Times New Roman"/>
          <w:b w:val="0"/>
          <w:bCs/>
          <w:color w:val="auto"/>
          <w:sz w:val="28"/>
          <w:szCs w:val="28"/>
          <w:highlight w:val="none"/>
          <w:u w:val="none"/>
          <w:lang w:val="en-US" w:eastAsia="zh-CN"/>
        </w:rPr>
        <w:t>车辆安排</w:t>
      </w:r>
    </w:p>
    <w:p w14:paraId="532D0438">
      <w:pPr>
        <w:spacing w:line="360" w:lineRule="auto"/>
        <w:ind w:firstLine="56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1.投标人自备货车不少于6辆，运送医用气体特种车辆不少于1辆，5座或以上的其他车辆不少于3辆。（包括车辆的维护保养工作）</w:t>
      </w:r>
    </w:p>
    <w:p w14:paraId="2D0D1F8F">
      <w:pPr>
        <w:spacing w:line="360" w:lineRule="auto"/>
        <w:ind w:firstLine="560" w:firstLineChars="200"/>
        <w:rPr>
          <w:b w:val="0"/>
          <w:bCs/>
          <w:color w:val="auto"/>
          <w:szCs w:val="21"/>
          <w:highlight w:val="none"/>
          <w:u w:val="none"/>
        </w:rPr>
      </w:pPr>
      <w:r>
        <w:rPr>
          <w:rFonts w:hint="eastAsia" w:ascii="仿宋" w:hAnsi="仿宋" w:eastAsia="仿宋" w:cs="Times New Roman"/>
          <w:b w:val="0"/>
          <w:bCs/>
          <w:color w:val="auto"/>
          <w:sz w:val="28"/>
          <w:szCs w:val="28"/>
          <w:highlight w:val="none"/>
          <w:u w:val="none"/>
          <w:lang w:val="en-US" w:eastAsia="zh-CN"/>
        </w:rPr>
        <w:t>2.车辆需保证能在深圳市全时段正常通行，不因限行等交通规定拖延配送时间。</w:t>
      </w:r>
    </w:p>
    <w:p w14:paraId="4583DA3E">
      <w:pPr>
        <w:numPr>
          <w:ilvl w:val="0"/>
          <w:numId w:val="0"/>
        </w:numPr>
        <w:spacing w:line="360" w:lineRule="auto"/>
        <w:ind w:firstLine="640" w:firstLineChars="200"/>
        <w:rPr>
          <w:rFonts w:hint="eastAsia"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32"/>
          <w:szCs w:val="32"/>
          <w:highlight w:val="none"/>
          <w:u w:val="none"/>
          <w:lang w:val="en-US" w:eastAsia="zh-CN"/>
        </w:rPr>
        <w:t>（三）</w:t>
      </w:r>
      <w:r>
        <w:rPr>
          <w:rFonts w:hint="eastAsia" w:ascii="仿宋" w:hAnsi="仿宋" w:eastAsia="仿宋" w:cs="Times New Roman"/>
          <w:b w:val="0"/>
          <w:bCs/>
          <w:color w:val="auto"/>
          <w:sz w:val="28"/>
          <w:szCs w:val="28"/>
          <w:highlight w:val="none"/>
          <w:u w:val="none"/>
          <w:lang w:val="en-US" w:eastAsia="zh-CN"/>
        </w:rPr>
        <w:t>人员要求</w:t>
      </w:r>
    </w:p>
    <w:p w14:paraId="0C391151">
      <w:pPr>
        <w:numPr>
          <w:ilvl w:val="0"/>
          <w:numId w:val="0"/>
        </w:numPr>
        <w:spacing w:line="360" w:lineRule="auto"/>
        <w:ind w:firstLine="840" w:firstLineChars="300"/>
        <w:rPr>
          <w:rFonts w:hint="default" w:ascii="仿宋" w:hAnsi="仿宋" w:eastAsia="仿宋" w:cs="Times New Roman"/>
          <w:b w:val="0"/>
          <w:bCs/>
          <w:color w:val="auto"/>
          <w:sz w:val="28"/>
          <w:szCs w:val="28"/>
          <w:highlight w:val="none"/>
          <w:u w:val="none"/>
          <w:lang w:val="en-US" w:eastAsia="zh-CN"/>
        </w:rPr>
      </w:pPr>
      <w:r>
        <w:rPr>
          <w:rFonts w:hint="eastAsia" w:ascii="仿宋" w:hAnsi="仿宋" w:eastAsia="仿宋" w:cs="Times New Roman"/>
          <w:b w:val="0"/>
          <w:bCs/>
          <w:color w:val="auto"/>
          <w:sz w:val="28"/>
          <w:szCs w:val="28"/>
          <w:highlight w:val="none"/>
          <w:u w:val="none"/>
          <w:lang w:val="en-US" w:eastAsia="zh-CN"/>
        </w:rPr>
        <w:t>配备司机、配送及管理人员共23人。</w:t>
      </w:r>
    </w:p>
    <w:p w14:paraId="73CB11CD">
      <w:pPr>
        <w:rPr>
          <w:rFonts w:hint="eastAsia"/>
          <w:b w:val="0"/>
          <w:bCs/>
          <w:color w:val="auto"/>
          <w:highlight w:val="none"/>
          <w:u w:val="none"/>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DB34F3"/>
    <w:multiLevelType w:val="singleLevel"/>
    <w:tmpl w:val="C3DB34F3"/>
    <w:lvl w:ilvl="0" w:tentative="0">
      <w:start w:val="1"/>
      <w:numFmt w:val="decimal"/>
      <w:pStyle w:val="7"/>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4B2EEC"/>
    <w:rsid w:val="0AB62B9E"/>
    <w:rsid w:val="174B25FE"/>
    <w:rsid w:val="17B47855"/>
    <w:rsid w:val="1AEB1D63"/>
    <w:rsid w:val="1B5147DB"/>
    <w:rsid w:val="1BFD0D89"/>
    <w:rsid w:val="21C347B6"/>
    <w:rsid w:val="274D2A19"/>
    <w:rsid w:val="28AF35C6"/>
    <w:rsid w:val="32EC6BCF"/>
    <w:rsid w:val="3A9C240C"/>
    <w:rsid w:val="47DE5B58"/>
    <w:rsid w:val="534B2EEC"/>
    <w:rsid w:val="54190A9E"/>
    <w:rsid w:val="5BAD55B3"/>
    <w:rsid w:val="5DAA43BA"/>
    <w:rsid w:val="6AB22435"/>
    <w:rsid w:val="6EC421AE"/>
    <w:rsid w:val="6F3C68FE"/>
    <w:rsid w:val="6FC6392C"/>
    <w:rsid w:val="7692374C"/>
    <w:rsid w:val="781028C4"/>
    <w:rsid w:val="78BB0EB8"/>
    <w:rsid w:val="7A974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例会标题1"/>
    <w:link w:val="8"/>
    <w:qFormat/>
    <w:uiPriority w:val="0"/>
    <w:pPr>
      <w:spacing w:before="50" w:beforeLines="50" w:after="50" w:afterLines="50" w:line="240" w:lineRule="auto"/>
    </w:pPr>
    <w:rPr>
      <w:rFonts w:hint="eastAsia" w:ascii="仿宋_GB2312" w:hAnsi="仿宋_GB2312" w:eastAsia="宋体" w:cs="仿宋_GB2312"/>
      <w:b/>
      <w:bCs/>
      <w:color w:val="2C3E50"/>
      <w:sz w:val="24"/>
      <w:shd w:val="clear" w:fill="FFFFFF"/>
    </w:rPr>
  </w:style>
  <w:style w:type="paragraph" w:customStyle="1" w:styleId="7">
    <w:name w:val="例会正文"/>
    <w:basedOn w:val="1"/>
    <w:qFormat/>
    <w:uiPriority w:val="0"/>
    <w:pPr>
      <w:numPr>
        <w:ilvl w:val="0"/>
        <w:numId w:val="1"/>
      </w:numPr>
      <w:spacing w:line="320" w:lineRule="exact"/>
      <w:ind w:left="0" w:leftChars="0" w:firstLine="562" w:firstLineChars="200"/>
    </w:pPr>
    <w:rPr>
      <w:rFonts w:hint="eastAsia" w:ascii="仿宋_GB2312" w:hAnsi="仿宋_GB2312" w:cs="仿宋_GB2312"/>
      <w:bCs/>
      <w:color w:val="2C3E50"/>
      <w:sz w:val="22"/>
      <w:szCs w:val="22"/>
      <w:shd w:val="clear" w:fill="FFFFFF"/>
      <w:lang w:val="en-US" w:eastAsia="zh-CN"/>
    </w:rPr>
  </w:style>
  <w:style w:type="character" w:customStyle="1" w:styleId="8">
    <w:name w:val="例会标题1 Char"/>
    <w:link w:val="6"/>
    <w:qFormat/>
    <w:uiPriority w:val="0"/>
    <w:rPr>
      <w:rFonts w:hint="eastAsia" w:ascii="仿宋_GB2312" w:hAnsi="仿宋_GB2312" w:eastAsia="宋体" w:cs="仿宋_GB2312"/>
      <w:b/>
      <w:bCs/>
      <w:color w:val="2C3E50"/>
      <w:sz w:val="24"/>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广东分公司</Company>
  <Pages>4</Pages>
  <Words>1419</Words>
  <Characters>1448</Characters>
  <Lines>0</Lines>
  <Paragraphs>0</Paragraphs>
  <TotalTime>1</TotalTime>
  <ScaleCrop>false</ScaleCrop>
  <LinksUpToDate>false</LinksUpToDate>
  <CharactersWithSpaces>1448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2026-06-18T08:59:00Z</dcterms:created>
  <dc:creator>24292</dc:creator>
  <cp:lastModifiedBy>Cici</cp:lastModifiedBy>
  <dcterms:modified xsi:type="dcterms:W3CDTF">2026-06-18T10:25:15Z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9B82DF12052D4AFF9DA612F3F87B4C41_11</vt:lpwstr>
  </property>
  <property fmtid="{D5CDD505-2E9C-101B-9397-08002B2CF9AE}" pid="4" name="KSOTemplateDocerSaveRecord">
    <vt:lpwstr>eyJoZGlkIjoiYWVjYjg1NWRlZmYwOTE5MDIzZDgxMjZhMjQ3OWVlZDQiLCJ1c2VySWQiOiI4MjM2NzAwNDEifQ==</vt:lpwstr>
  </property>
</Properties>
</file>