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2883" w:leftChars="608" w:hanging="1606" w:hangingChars="500"/>
        <w:jc w:val="left"/>
        <w:rPr>
          <w:rFonts w:ascii="宋体" w:hAnsi="宋体"/>
          <w:b/>
          <w:bCs/>
          <w:sz w:val="32"/>
          <w:szCs w:val="32"/>
        </w:rPr>
      </w:pPr>
      <w:r>
        <w:rPr>
          <w:rFonts w:hint="eastAsia" w:ascii="宋体" w:hAnsi="宋体"/>
          <w:b/>
          <w:bCs/>
          <w:sz w:val="32"/>
          <w:szCs w:val="32"/>
        </w:rPr>
        <w:t>项目名称：</w:t>
      </w:r>
      <w:r>
        <w:rPr>
          <w:rFonts w:hint="default" w:ascii="宋体" w:hAnsi="宋体"/>
          <w:b/>
          <w:bCs/>
          <w:sz w:val="32"/>
          <w:szCs w:val="32"/>
          <w:highlight w:val="none"/>
          <w:u w:val="single"/>
        </w:rPr>
        <w:t>南山区医疗集团总部财务往来款项清理专项审计服务项目</w:t>
      </w:r>
      <w:r>
        <w:rPr>
          <w:rFonts w:hint="eastAsia" w:ascii="宋体" w:hAnsi="宋体"/>
          <w:b/>
          <w:bCs/>
          <w:sz w:val="32"/>
          <w:szCs w:val="32"/>
          <w:u w:val="single"/>
        </w:rPr>
        <w:t xml:space="preserve"> </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月</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color w:val="FF0000"/>
          <w:kern w:val="0"/>
          <w:sz w:val="28"/>
        </w:rPr>
      </w:pPr>
      <w:bookmarkStart w:id="3" w:name="_格式1__投标人资格证明文件"/>
      <w:bookmarkEnd w:id="3"/>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val="0"/>
          <w:snapToGrid w:val="0"/>
          <w:color w:val="FF0000"/>
          <w:kern w:val="0"/>
          <w:sz w:val="24"/>
        </w:rPr>
      </w:pPr>
      <w:r>
        <w:rPr>
          <w:rFonts w:hint="eastAsia" w:ascii="宋体" w:hAnsi="宋体"/>
          <w:b/>
          <w:bCs w:val="0"/>
          <w:snapToGrid w:val="0"/>
          <w:color w:val="FF0000"/>
          <w:kern w:val="0"/>
          <w:sz w:val="24"/>
        </w:rPr>
        <w:t>三、报价供应商应填写单位/公司全称、同时加盖供应商公章及签字，</w:t>
      </w:r>
      <w:r>
        <w:rPr>
          <w:rFonts w:hint="eastAsia" w:ascii="宋体" w:hAnsi="宋体"/>
          <w:b/>
          <w:bCs w:val="0"/>
          <w:snapToGrid w:val="0"/>
          <w:color w:val="FF0000"/>
          <w:kern w:val="0"/>
          <w:sz w:val="24"/>
          <w:highlight w:val="yellow"/>
        </w:rPr>
        <w:t>于202</w:t>
      </w:r>
      <w:r>
        <w:rPr>
          <w:rFonts w:hint="eastAsia" w:ascii="宋体" w:hAnsi="宋体"/>
          <w:b/>
          <w:bCs w:val="0"/>
          <w:snapToGrid w:val="0"/>
          <w:color w:val="FF0000"/>
          <w:kern w:val="0"/>
          <w:sz w:val="24"/>
          <w:highlight w:val="yellow"/>
          <w:lang w:val="en-US" w:eastAsia="zh-CN"/>
        </w:rPr>
        <w:t>6</w:t>
      </w:r>
      <w:r>
        <w:rPr>
          <w:rFonts w:hint="eastAsia" w:ascii="宋体" w:hAnsi="宋体"/>
          <w:b/>
          <w:bCs w:val="0"/>
          <w:snapToGrid w:val="0"/>
          <w:color w:val="FF0000"/>
          <w:kern w:val="0"/>
          <w:sz w:val="24"/>
          <w:highlight w:val="yellow"/>
        </w:rPr>
        <w:t>年</w:t>
      </w:r>
      <w:r>
        <w:rPr>
          <w:rFonts w:hint="eastAsia" w:ascii="宋体" w:hAnsi="宋体"/>
          <w:b/>
          <w:bCs w:val="0"/>
          <w:snapToGrid w:val="0"/>
          <w:color w:val="FF0000"/>
          <w:kern w:val="0"/>
          <w:sz w:val="24"/>
          <w:highlight w:val="yellow"/>
          <w:lang w:val="en-US" w:eastAsia="zh-CN"/>
        </w:rPr>
        <w:t>8</w:t>
      </w:r>
      <w:r>
        <w:rPr>
          <w:rFonts w:hint="eastAsia" w:ascii="宋体" w:hAnsi="宋体"/>
          <w:b/>
          <w:bCs w:val="0"/>
          <w:snapToGrid w:val="0"/>
          <w:color w:val="FF0000"/>
          <w:kern w:val="0"/>
          <w:sz w:val="24"/>
          <w:highlight w:val="yellow"/>
        </w:rPr>
        <w:t>月</w:t>
      </w:r>
      <w:r>
        <w:rPr>
          <w:rFonts w:hint="eastAsia" w:ascii="宋体" w:hAnsi="宋体"/>
          <w:b/>
          <w:bCs w:val="0"/>
          <w:snapToGrid w:val="0"/>
          <w:color w:val="FF0000"/>
          <w:kern w:val="0"/>
          <w:sz w:val="24"/>
          <w:highlight w:val="yellow"/>
          <w:lang w:val="en-US" w:eastAsia="zh-CN"/>
        </w:rPr>
        <w:t>17</w:t>
      </w:r>
      <w:bookmarkStart w:id="5" w:name="_GoBack"/>
      <w:bookmarkEnd w:id="5"/>
      <w:r>
        <w:rPr>
          <w:rFonts w:hint="eastAsia" w:ascii="宋体" w:hAnsi="宋体"/>
          <w:b/>
          <w:bCs w:val="0"/>
          <w:snapToGrid w:val="0"/>
          <w:color w:val="FF0000"/>
          <w:kern w:val="0"/>
          <w:sz w:val="24"/>
          <w:highlight w:val="yellow"/>
        </w:rPr>
        <w:t>日</w:t>
      </w:r>
      <w:r>
        <w:rPr>
          <w:rFonts w:hint="eastAsia" w:ascii="宋体" w:hAnsi="宋体"/>
          <w:b/>
          <w:bCs w:val="0"/>
          <w:snapToGrid w:val="0"/>
          <w:color w:val="FF0000"/>
          <w:kern w:val="0"/>
          <w:sz w:val="24"/>
          <w:highlight w:val="yellow"/>
          <w:lang w:val="en-US" w:eastAsia="zh-CN"/>
        </w:rPr>
        <w:t>18</w:t>
      </w:r>
      <w:r>
        <w:rPr>
          <w:rFonts w:hint="eastAsia" w:ascii="宋体" w:hAnsi="宋体"/>
          <w:b/>
          <w:bCs w:val="0"/>
          <w:snapToGrid w:val="0"/>
          <w:color w:val="FF0000"/>
          <w:kern w:val="0"/>
          <w:sz w:val="24"/>
          <w:highlight w:val="yellow"/>
        </w:rPr>
        <w:t>:00前</w:t>
      </w:r>
      <w:r>
        <w:rPr>
          <w:rFonts w:hint="eastAsia" w:ascii="宋体" w:hAnsi="宋体"/>
          <w:b/>
          <w:bCs w:val="0"/>
          <w:snapToGrid w:val="0"/>
          <w:color w:val="FF0000"/>
          <w:kern w:val="0"/>
          <w:sz w:val="24"/>
        </w:rPr>
        <w:t>将三份纸质版院内询价响应文件( 一正二副)递交至</w:t>
      </w:r>
      <w:r>
        <w:rPr>
          <w:rFonts w:hint="eastAsia" w:ascii="宋体" w:hAnsi="宋体"/>
          <w:b/>
          <w:bCs w:val="0"/>
          <w:snapToGrid w:val="0"/>
          <w:color w:val="FF0000"/>
          <w:kern w:val="0"/>
          <w:sz w:val="24"/>
          <w:u w:val="single"/>
        </w:rPr>
        <w:t>深圳市南山区</w:t>
      </w:r>
      <w:r>
        <w:rPr>
          <w:rFonts w:hint="eastAsia" w:ascii="宋体" w:hAnsi="宋体"/>
          <w:b/>
          <w:bCs w:val="0"/>
          <w:snapToGrid w:val="0"/>
          <w:color w:val="FF0000"/>
          <w:kern w:val="0"/>
          <w:sz w:val="24"/>
          <w:u w:val="single"/>
          <w:lang w:val="en-US" w:eastAsia="zh-CN"/>
        </w:rPr>
        <w:t>常兴路11号南山区医疗集团总部4楼406室</w:t>
      </w:r>
      <w:r>
        <w:rPr>
          <w:rFonts w:hint="eastAsia" w:ascii="宋体" w:hAnsi="宋体"/>
          <w:b/>
          <w:bCs w:val="0"/>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val="0"/>
          <w:snapToGrid w:val="0"/>
          <w:color w:val="FF0000"/>
          <w:kern w:val="0"/>
          <w:sz w:val="24"/>
        </w:rPr>
      </w:pPr>
      <w:r>
        <w:rPr>
          <w:rFonts w:hint="eastAsia" w:ascii="宋体" w:hAnsi="宋体"/>
          <w:b/>
          <w:bCs w:val="0"/>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val="0"/>
          <w:color w:val="FF0000"/>
          <w:sz w:val="24"/>
          <w:szCs w:val="24"/>
        </w:rPr>
      </w:pPr>
      <w:r>
        <w:rPr>
          <w:rFonts w:hint="eastAsia" w:ascii="宋体" w:hAnsi="宋体"/>
          <w:b/>
          <w:bCs w:val="0"/>
          <w:snapToGrid w:val="0"/>
          <w:color w:val="FF0000"/>
          <w:kern w:val="0"/>
          <w:sz w:val="24"/>
          <w:lang w:val="en-US" w:eastAsia="zh-CN"/>
        </w:rPr>
        <w:t>六、</w:t>
      </w:r>
      <w:r>
        <w:rPr>
          <w:rFonts w:ascii="宋体" w:hAnsi="宋体" w:eastAsia="宋体" w:cs="宋体"/>
          <w:b/>
          <w:bCs w:val="0"/>
          <w:color w:val="FF0000"/>
          <w:sz w:val="24"/>
          <w:szCs w:val="24"/>
        </w:rPr>
        <w:t>响应供应商提供的报价不得高于同期电子商务平台或市场销售价格。采购</w:t>
      </w:r>
      <w:r>
        <w:rPr>
          <w:rFonts w:hint="eastAsia" w:ascii="宋体" w:hAnsi="宋体" w:cs="宋体"/>
          <w:b/>
          <w:bCs w:val="0"/>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Cs/>
          <w:snapToGrid w:val="0"/>
          <w:color w:val="FF0000"/>
          <w:kern w:val="0"/>
          <w:sz w:val="24"/>
        </w:rPr>
      </w:pPr>
      <w:r>
        <w:rPr>
          <w:rFonts w:ascii="宋体" w:hAnsi="宋体" w:eastAsia="宋体" w:cs="宋体"/>
          <w:b/>
          <w:bCs w:val="0"/>
          <w:color w:val="FF0000"/>
          <w:sz w:val="24"/>
          <w:szCs w:val="24"/>
        </w:rPr>
        <w:t>人将对响应供应商提供的报价进行现场比价或电子商务平台比价，若发现报价存在高于市场平均价的情形，招标人有权废止该项目响应供应商。</w:t>
      </w:r>
    </w:p>
    <w:p w14:paraId="585E7AFB">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6F301899">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61772BA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0AA17A92">
      <w:pPr>
        <w:adjustRightInd w:val="0"/>
        <w:snapToGrid w:val="0"/>
        <w:spacing w:line="360" w:lineRule="auto"/>
        <w:ind w:firstLine="960" w:firstLineChars="400"/>
        <w:rPr>
          <w:rStyle w:val="42"/>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685B8B98">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2"/>
          <w:rFonts w:hint="eastAsia" w:ascii="宋体" w:hAnsi="宋体"/>
          <w:bCs/>
          <w:snapToGrid w:val="0"/>
          <w:color w:val="auto"/>
          <w:kern w:val="0"/>
          <w:sz w:val="24"/>
          <w:u w:val="none"/>
        </w:rPr>
        <w:t>地</w:t>
      </w:r>
      <w:r>
        <w:rPr>
          <w:rFonts w:hint="eastAsia" w:ascii="宋体" w:hAnsi="宋体"/>
          <w:bCs/>
          <w:snapToGrid w:val="0"/>
          <w:kern w:val="0"/>
          <w:sz w:val="24"/>
        </w:rPr>
        <w:t>　</w:t>
      </w:r>
      <w:r>
        <w:rPr>
          <w:rStyle w:val="42"/>
          <w:rFonts w:hint="eastAsia" w:ascii="宋体" w:hAnsi="宋体"/>
          <w:bCs/>
          <w:snapToGrid w:val="0"/>
          <w:color w:val="auto"/>
          <w:kern w:val="0"/>
          <w:sz w:val="24"/>
          <w:u w:val="none"/>
        </w:rPr>
        <w:t>址：深圳市南山区常兴路11号南山区医疗集团总部4楼</w:t>
      </w:r>
      <w:r>
        <w:rPr>
          <w:rStyle w:val="42"/>
          <w:rFonts w:hint="eastAsia" w:ascii="宋体" w:hAnsi="宋体"/>
          <w:bCs/>
          <w:snapToGrid w:val="0"/>
          <w:color w:val="auto"/>
          <w:kern w:val="0"/>
          <w:sz w:val="24"/>
          <w:u w:val="none"/>
          <w:lang w:val="en-US" w:eastAsia="zh-CN"/>
        </w:rPr>
        <w:t>406室</w:t>
      </w:r>
    </w:p>
    <w:p w14:paraId="2D013CE1">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六、供应商承诺函</w:t>
      </w:r>
    </w:p>
    <w:p w14:paraId="2EEAE65C">
      <w:pPr>
        <w:keepNext w:val="0"/>
        <w:keepLines w:val="0"/>
        <w:pageBreakBefore w:val="0"/>
        <w:kinsoku/>
        <w:wordWrap/>
        <w:overflowPunct/>
        <w:topLinePunct w:val="0"/>
        <w:autoSpaceDE/>
        <w:autoSpaceDN/>
        <w:bidi w:val="0"/>
        <w:spacing w:line="560" w:lineRule="exact"/>
        <w:jc w:val="center"/>
        <w:textAlignment w:val="auto"/>
        <w:rPr>
          <w:rFonts w:hint="eastAsia" w:ascii="方正仿宋_GB2312" w:hAnsi="方正仿宋_GB2312" w:eastAsia="方正仿宋_GB2312" w:cs="方正仿宋_GB2312"/>
          <w:b/>
          <w:bCs/>
          <w:snapToGrid w:val="0"/>
          <w:kern w:val="0"/>
          <w:sz w:val="52"/>
          <w:szCs w:val="52"/>
        </w:rPr>
      </w:pPr>
      <w:r>
        <w:rPr>
          <w:rFonts w:hint="eastAsia" w:ascii="方正仿宋_GB2312" w:hAnsi="方正仿宋_GB2312" w:eastAsia="方正仿宋_GB2312" w:cs="方正仿宋_GB2312"/>
          <w:b/>
          <w:bCs/>
          <w:snapToGrid w:val="0"/>
          <w:kern w:val="0"/>
          <w:sz w:val="52"/>
          <w:szCs w:val="52"/>
        </w:rPr>
        <w:t>项目需求</w:t>
      </w:r>
    </w:p>
    <w:p w14:paraId="5C2591F3">
      <w:pPr>
        <w:pStyle w:val="44"/>
        <w:rPr>
          <w:rFonts w:hint="eastAsia"/>
        </w:rPr>
      </w:pPr>
    </w:p>
    <w:p w14:paraId="2D42923E">
      <w:pPr>
        <w:keepNext w:val="0"/>
        <w:keepLines w:val="0"/>
        <w:pageBreakBefore w:val="0"/>
        <w:widowControl/>
        <w:kinsoku/>
        <w:wordWrap/>
        <w:overflowPunct/>
        <w:topLinePunct w:val="0"/>
        <w:autoSpaceDE/>
        <w:autoSpaceDN/>
        <w:bidi w:val="0"/>
        <w:spacing w:line="560" w:lineRule="exact"/>
        <w:ind w:firstLine="560" w:firstLineChars="200"/>
        <w:jc w:val="left"/>
        <w:textAlignment w:val="auto"/>
        <w:rPr>
          <w:rFonts w:hint="default"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依据深圳市财政局部门预算与财务核算规范化管理相关要求，全市各事业单位需常态化开展往来款项清查梳理、规范账务处理、盘活存量资金、夯实财务基础，是年度财务规范化、决算编审、内控管理的常规硬性工作要求。为进一步规范我单位财务核算管理，厘清历年往来款项底数、理顺账务脉络、化解存量账务风险、补齐内控管理短板，保障单位资产资金安全及财务数据真实完整，现聘请第三方专业审计机构，开展往来款项专项清理审计工作。具体需求如下：</w:t>
      </w:r>
    </w:p>
    <w:p w14:paraId="34E73B41">
      <w:pPr>
        <w:keepNext w:val="0"/>
        <w:keepLines w:val="0"/>
        <w:pageBreakBefore w:val="0"/>
        <w:widowControl/>
        <w:kinsoku/>
        <w:wordWrap/>
        <w:overflowPunct/>
        <w:topLinePunct w:val="0"/>
        <w:autoSpaceDE/>
        <w:autoSpaceDN/>
        <w:bidi w:val="0"/>
        <w:spacing w:line="560" w:lineRule="exact"/>
        <w:ind w:firstLine="562" w:firstLineChars="200"/>
        <w:jc w:val="left"/>
        <w:textAlignment w:val="auto"/>
        <w:rPr>
          <w:rFonts w:hint="eastAsia" w:ascii="方正仿宋_GB2312" w:hAnsi="方正仿宋_GB2312" w:eastAsia="方正仿宋_GB2312" w:cs="方正仿宋_GB2312"/>
          <w:b/>
          <w:bCs/>
          <w:sz w:val="28"/>
          <w:szCs w:val="28"/>
          <w:lang w:eastAsia="zh-CN"/>
        </w:rPr>
      </w:pPr>
      <w:r>
        <w:rPr>
          <w:rFonts w:hint="eastAsia" w:ascii="方正仿宋_GB2312" w:hAnsi="方正仿宋_GB2312" w:eastAsia="方正仿宋_GB2312" w:cs="方正仿宋_GB2312"/>
          <w:b/>
          <w:bCs/>
          <w:sz w:val="28"/>
          <w:szCs w:val="28"/>
          <w:lang w:val="en-US" w:eastAsia="zh-CN"/>
        </w:rPr>
        <w:t>一</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具体参数要求/服务要求：</w:t>
      </w:r>
    </w:p>
    <w:p w14:paraId="74BC512A">
      <w:pPr>
        <w:widowControl/>
        <w:ind w:firstLine="562" w:firstLineChars="200"/>
        <w:jc w:val="left"/>
        <w:rPr>
          <w:rFonts w:hint="eastAsia" w:ascii="方正仿宋_GB2312" w:hAnsi="方正仿宋_GB2312" w:eastAsia="方正仿宋_GB2312" w:cs="方正仿宋_GB2312"/>
          <w:b/>
          <w:bCs/>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（一）业务范围：</w:t>
      </w:r>
    </w:p>
    <w:p w14:paraId="142B10E5">
      <w:pPr>
        <w:widowControl/>
        <w:ind w:firstLine="560" w:firstLineChars="200"/>
        <w:jc w:val="left"/>
        <w:rPr>
          <w:rFonts w:hint="eastAsia" w:ascii="方正仿宋_GB2312" w:hAnsi="方正仿宋_GB2312" w:eastAsia="方正仿宋_GB2312" w:cs="方正仿宋_GB2312"/>
          <w:kern w:val="2"/>
          <w:sz w:val="28"/>
          <w:szCs w:val="28"/>
          <w:highlight w:val="none"/>
          <w:lang w:val="en-US" w:eastAsia="zh-CN" w:bidi="ar-SA"/>
        </w:rPr>
      </w:pPr>
      <w:r>
        <w:rPr>
          <w:rFonts w:hint="eastAsia" w:ascii="仿宋_GB2312" w:hAnsi="宋体" w:eastAsia="仿宋_GB2312" w:cs="宋体"/>
          <w:kern w:val="2"/>
          <w:sz w:val="28"/>
          <w:szCs w:val="32"/>
          <w:lang w:val="en-US" w:eastAsia="zh-CN" w:bidi="ar-SA"/>
        </w:rPr>
        <w:t>对单位截至2026年6月30日全部往来款项开展专项清理审计，涵盖应收账款、预付账款、其他应收款、应付账款、预收账款、其他应付款等全部往来科目。审计期间为单位2019年成立起至2026年6月30日所有累计未清理往来账务。服务内容包含账务核对、挂账成因核查、长期挂账甄别、坏账及异常款项认定、账实不符排查、账务合规性审核、内控漏洞核查、清理整改方案编制及专项指导等工作。</w:t>
      </w:r>
    </w:p>
    <w:p w14:paraId="4AB0DACE">
      <w:pPr>
        <w:widowControl/>
        <w:ind w:firstLine="562" w:firstLineChars="200"/>
        <w:jc w:val="left"/>
        <w:rPr>
          <w:rFonts w:hint="eastAsia" w:ascii="方正仿宋_GB2312" w:hAnsi="方正仿宋_GB2312" w:eastAsia="方正仿宋_GB2312" w:cs="方正仿宋_GB2312"/>
          <w:b/>
          <w:bCs/>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（二）项目预算及报价：</w:t>
      </w:r>
    </w:p>
    <w:p w14:paraId="1B7C45E5">
      <w:pPr>
        <w:widowControl/>
        <w:ind w:firstLine="560" w:firstLineChars="200"/>
        <w:jc w:val="left"/>
        <w:rPr>
          <w:rFonts w:hint="default"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项目</w:t>
      </w:r>
      <w:r>
        <w:rPr>
          <w:rFonts w:hint="default" w:ascii="仿宋_GB2312" w:hAnsi="宋体" w:eastAsia="仿宋_GB2312" w:cs="宋体"/>
          <w:kern w:val="2"/>
          <w:sz w:val="28"/>
          <w:szCs w:val="32"/>
          <w:lang w:val="en-US" w:eastAsia="zh-CN" w:bidi="ar-SA"/>
        </w:rPr>
        <w:t>金额最高价为人民币4</w:t>
      </w:r>
      <w:r>
        <w:rPr>
          <w:rFonts w:hint="eastAsia" w:ascii="仿宋_GB2312" w:hAnsi="宋体" w:eastAsia="仿宋_GB2312" w:cs="宋体"/>
          <w:kern w:val="2"/>
          <w:sz w:val="28"/>
          <w:szCs w:val="32"/>
          <w:lang w:val="en-US" w:eastAsia="zh-CN" w:bidi="ar-SA"/>
        </w:rPr>
        <w:t>9000</w:t>
      </w:r>
      <w:r>
        <w:rPr>
          <w:rFonts w:hint="default" w:ascii="仿宋_GB2312" w:hAnsi="宋体" w:eastAsia="仿宋_GB2312" w:cs="宋体"/>
          <w:kern w:val="2"/>
          <w:sz w:val="28"/>
          <w:szCs w:val="32"/>
          <w:lang w:val="en-US" w:eastAsia="zh-CN" w:bidi="ar-SA"/>
        </w:rPr>
        <w:t>元（含税）；本项目以签订合同的形式委托服务，项目服务费用包含服务机构人员工资、奖金及其他福利及实施项目过程中发生的全部差旅费用</w:t>
      </w:r>
      <w:r>
        <w:rPr>
          <w:rFonts w:hint="eastAsia" w:ascii="仿宋_GB2312" w:hAnsi="宋体" w:eastAsia="仿宋_GB2312" w:cs="宋体"/>
          <w:kern w:val="2"/>
          <w:sz w:val="28"/>
          <w:szCs w:val="32"/>
          <w:lang w:val="en-US" w:eastAsia="zh-CN" w:bidi="ar-SA"/>
        </w:rPr>
        <w:t>（</w:t>
      </w:r>
      <w:r>
        <w:rPr>
          <w:rFonts w:hint="default" w:ascii="仿宋_GB2312" w:hAnsi="宋体" w:eastAsia="仿宋_GB2312" w:cs="宋体"/>
          <w:kern w:val="2"/>
          <w:sz w:val="28"/>
          <w:szCs w:val="32"/>
          <w:lang w:val="en-US" w:eastAsia="zh-CN" w:bidi="ar-SA"/>
        </w:rPr>
        <w:t>含交通费、食宿费及税金</w:t>
      </w:r>
      <w:r>
        <w:rPr>
          <w:rFonts w:hint="eastAsia" w:ascii="仿宋_GB2312" w:hAnsi="宋体" w:eastAsia="仿宋_GB2312" w:cs="宋体"/>
          <w:kern w:val="2"/>
          <w:sz w:val="28"/>
          <w:szCs w:val="32"/>
          <w:lang w:val="en-US" w:eastAsia="zh-CN" w:bidi="ar-SA"/>
        </w:rPr>
        <w:t>）</w:t>
      </w:r>
      <w:r>
        <w:rPr>
          <w:rFonts w:hint="default" w:ascii="仿宋_GB2312" w:hAnsi="宋体" w:eastAsia="仿宋_GB2312" w:cs="宋体"/>
          <w:kern w:val="2"/>
          <w:sz w:val="28"/>
          <w:szCs w:val="32"/>
          <w:lang w:val="en-US" w:eastAsia="zh-CN" w:bidi="ar-SA"/>
        </w:rPr>
        <w:t>；报价按照给定区间进行报价，报价超出限定报价区间视为无效报价。</w:t>
      </w:r>
    </w:p>
    <w:p w14:paraId="20B1CDAA">
      <w:pPr>
        <w:keepNext w:val="0"/>
        <w:keepLines w:val="0"/>
        <w:pageBreakBefore w:val="0"/>
        <w:widowControl/>
        <w:kinsoku/>
        <w:wordWrap/>
        <w:overflowPunct/>
        <w:topLinePunct w:val="0"/>
        <w:autoSpaceDE/>
        <w:autoSpaceDN/>
        <w:bidi w:val="0"/>
        <w:spacing w:line="560" w:lineRule="exact"/>
        <w:ind w:firstLine="562" w:firstLineChars="200"/>
        <w:jc w:val="left"/>
        <w:textAlignment w:val="auto"/>
        <w:rPr>
          <w:rFonts w:hint="eastAsia" w:ascii="方正仿宋_GB2312" w:hAnsi="方正仿宋_GB2312" w:eastAsia="方正仿宋_GB2312" w:cs="方正仿宋_GB2312"/>
          <w:b/>
          <w:bCs/>
          <w:kern w:val="2"/>
          <w:sz w:val="28"/>
          <w:szCs w:val="28"/>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（三）</w:t>
      </w:r>
      <w:r>
        <w:rPr>
          <w:rFonts w:hint="eastAsia" w:ascii="方正仿宋_GB2312" w:hAnsi="方正仿宋_GB2312" w:eastAsia="方正仿宋_GB2312" w:cs="方正仿宋_GB2312"/>
          <w:b/>
          <w:bCs/>
          <w:kern w:val="2"/>
          <w:sz w:val="28"/>
          <w:szCs w:val="28"/>
          <w:lang w:val="en-US" w:eastAsia="zh-CN" w:bidi="ar-SA"/>
        </w:rPr>
        <w:t>具体工作内容：</w:t>
      </w:r>
    </w:p>
    <w:p w14:paraId="68054C3E">
      <w:pPr>
        <w:widowControl/>
        <w:ind w:firstLine="560" w:firstLineChars="200"/>
        <w:jc w:val="left"/>
        <w:rPr>
          <w:rFonts w:hint="default" w:ascii="仿宋_GB2312" w:hAnsi="宋体" w:eastAsia="仿宋_GB2312" w:cs="宋体"/>
          <w:kern w:val="2"/>
          <w:sz w:val="28"/>
          <w:szCs w:val="32"/>
          <w:lang w:val="en-US" w:eastAsia="zh-CN" w:bidi="ar-SA"/>
        </w:rPr>
      </w:pPr>
      <w:r>
        <w:rPr>
          <w:rFonts w:hint="default" w:ascii="仿宋_GB2312" w:hAnsi="宋体" w:eastAsia="仿宋_GB2312" w:cs="宋体"/>
          <w:kern w:val="2"/>
          <w:sz w:val="28"/>
          <w:szCs w:val="32"/>
          <w:lang w:val="en-US" w:eastAsia="zh-CN" w:bidi="ar-SA"/>
        </w:rPr>
        <w:t>中标服务机构需严格按照国家财经法律法规、会计准则、行政事业单位财务制度及单位内部财务管理制度，完成以下全部专项审计清理工作：</w:t>
      </w:r>
    </w:p>
    <w:p w14:paraId="7E0D644E">
      <w:pPr>
        <w:widowControl/>
        <w:ind w:firstLine="560" w:firstLineChars="200"/>
        <w:jc w:val="left"/>
        <w:rPr>
          <w:rFonts w:hint="default" w:ascii="仿宋_GB2312" w:hAnsi="宋体" w:eastAsia="仿宋_GB2312" w:cs="宋体"/>
          <w:kern w:val="2"/>
          <w:sz w:val="28"/>
          <w:szCs w:val="32"/>
          <w:lang w:val="en-US" w:eastAsia="zh-CN" w:bidi="ar-SA"/>
        </w:rPr>
      </w:pPr>
      <w:r>
        <w:rPr>
          <w:rFonts w:hint="default" w:ascii="仿宋_GB2312" w:hAnsi="宋体" w:eastAsia="仿宋_GB2312" w:cs="宋体"/>
          <w:kern w:val="2"/>
          <w:sz w:val="28"/>
          <w:szCs w:val="32"/>
          <w:lang w:val="en-US" w:eastAsia="zh-CN" w:bidi="ar-SA"/>
        </w:rPr>
        <w:t>1. 账务全面梳理核对：对单位所有往来款项明细账、总账、凭证、银行对账单、合同协议、审批单据等原始资料进行全面核查，逐笔核对往来账务发生时间、金额、事由、经办人员、审批流程、资金流向等基础信息，建立完整的往来款项清查台账。</w:t>
      </w:r>
    </w:p>
    <w:p w14:paraId="4FFE757B">
      <w:pPr>
        <w:widowControl/>
        <w:ind w:firstLine="560" w:firstLineChars="200"/>
        <w:jc w:val="left"/>
        <w:rPr>
          <w:rFonts w:hint="default" w:ascii="仿宋_GB2312" w:hAnsi="宋体" w:eastAsia="仿宋_GB2312" w:cs="宋体"/>
          <w:kern w:val="2"/>
          <w:sz w:val="28"/>
          <w:szCs w:val="32"/>
          <w:lang w:val="en-US" w:eastAsia="zh-CN" w:bidi="ar-SA"/>
        </w:rPr>
      </w:pPr>
      <w:r>
        <w:rPr>
          <w:rFonts w:hint="default" w:ascii="仿宋_GB2312" w:hAnsi="宋体" w:eastAsia="仿宋_GB2312" w:cs="宋体"/>
          <w:kern w:val="2"/>
          <w:sz w:val="28"/>
          <w:szCs w:val="32"/>
          <w:lang w:val="en-US" w:eastAsia="zh-CN" w:bidi="ar-SA"/>
        </w:rPr>
        <w:t>2. 长期挂账款项专项核查：重点核查三年及以上长期挂账、无明确业务依据、长期未结清的往来款项，逐一核实挂账成因、款项性质、对方单位及人员情况、是否存在坏账等问题，甄别款项是否合规、真实、有效。</w:t>
      </w:r>
    </w:p>
    <w:p w14:paraId="420F3B4C">
      <w:pPr>
        <w:widowControl/>
        <w:ind w:firstLine="560" w:firstLineChars="200"/>
        <w:jc w:val="left"/>
        <w:rPr>
          <w:rFonts w:hint="default" w:ascii="仿宋_GB2312" w:hAnsi="宋体" w:eastAsia="仿宋_GB2312" w:cs="宋体"/>
          <w:kern w:val="2"/>
          <w:sz w:val="28"/>
          <w:szCs w:val="32"/>
          <w:lang w:val="en-US" w:eastAsia="zh-CN" w:bidi="ar-SA"/>
        </w:rPr>
      </w:pPr>
      <w:r>
        <w:rPr>
          <w:rFonts w:hint="default" w:ascii="仿宋_GB2312" w:hAnsi="宋体" w:eastAsia="仿宋_GB2312" w:cs="宋体"/>
          <w:kern w:val="2"/>
          <w:sz w:val="28"/>
          <w:szCs w:val="32"/>
          <w:lang w:val="en-US" w:eastAsia="zh-CN" w:bidi="ar-SA"/>
        </w:rPr>
        <w:t>3. 异常及风险款项排查：排查往来款项中存在的账实不符、重复挂账、错账乱账、无依据收支、资金闲置、潜在坏账等各类问题；核查是否存在往来资金挪用、挤占、滞留等财务风险，梳理所有风险隐患点并分类登记。</w:t>
      </w:r>
    </w:p>
    <w:p w14:paraId="1689160B">
      <w:pPr>
        <w:widowControl/>
        <w:ind w:firstLine="560" w:firstLineChars="200"/>
        <w:jc w:val="left"/>
        <w:rPr>
          <w:rFonts w:hint="default" w:ascii="仿宋_GB2312" w:hAnsi="宋体" w:eastAsia="仿宋_GB2312" w:cs="宋体"/>
          <w:kern w:val="2"/>
          <w:sz w:val="28"/>
          <w:szCs w:val="32"/>
          <w:lang w:val="en-US" w:eastAsia="zh-CN" w:bidi="ar-SA"/>
        </w:rPr>
      </w:pPr>
      <w:r>
        <w:rPr>
          <w:rFonts w:hint="default" w:ascii="仿宋_GB2312" w:hAnsi="宋体" w:eastAsia="仿宋_GB2312" w:cs="宋体"/>
          <w:kern w:val="2"/>
          <w:sz w:val="28"/>
          <w:szCs w:val="32"/>
          <w:lang w:val="en-US" w:eastAsia="zh-CN" w:bidi="ar-SA"/>
        </w:rPr>
        <w:t>4. 往来款项分类甄别认定：对核查后的往来款项进行精准分类，区分正常往来、待清理往来、坏账</w:t>
      </w:r>
      <w:r>
        <w:rPr>
          <w:rFonts w:hint="eastAsia" w:ascii="仿宋_GB2312" w:hAnsi="宋体" w:eastAsia="仿宋_GB2312" w:cs="宋体"/>
          <w:kern w:val="2"/>
          <w:sz w:val="28"/>
          <w:szCs w:val="32"/>
          <w:lang w:val="en-US" w:eastAsia="zh-CN" w:bidi="ar-SA"/>
        </w:rPr>
        <w:t>、错账</w:t>
      </w:r>
      <w:r>
        <w:rPr>
          <w:rFonts w:hint="default" w:ascii="仿宋_GB2312" w:hAnsi="宋体" w:eastAsia="仿宋_GB2312" w:cs="宋体"/>
          <w:kern w:val="2"/>
          <w:sz w:val="28"/>
          <w:szCs w:val="32"/>
          <w:lang w:val="en-US" w:eastAsia="zh-CN" w:bidi="ar-SA"/>
        </w:rPr>
        <w:t>等类型，按照财务制度标准完成款项性质认定，明确各类款项清理处置依据及合规路径。</w:t>
      </w:r>
    </w:p>
    <w:p w14:paraId="6A40B522">
      <w:pPr>
        <w:widowControl/>
        <w:ind w:firstLine="560" w:firstLineChars="200"/>
        <w:jc w:val="left"/>
        <w:rPr>
          <w:rFonts w:hint="default" w:ascii="仿宋_GB2312" w:hAnsi="宋体" w:eastAsia="仿宋_GB2312" w:cs="宋体"/>
          <w:kern w:val="2"/>
          <w:sz w:val="28"/>
          <w:szCs w:val="32"/>
          <w:lang w:val="en-US" w:eastAsia="zh-CN" w:bidi="ar-SA"/>
        </w:rPr>
      </w:pPr>
      <w:r>
        <w:rPr>
          <w:rFonts w:hint="default" w:ascii="仿宋_GB2312" w:hAnsi="宋体" w:eastAsia="仿宋_GB2312" w:cs="宋体"/>
          <w:kern w:val="2"/>
          <w:sz w:val="28"/>
          <w:szCs w:val="32"/>
          <w:lang w:val="en-US" w:eastAsia="zh-CN" w:bidi="ar-SA"/>
        </w:rPr>
        <w:t>5. 问题成因分析及整改梳理：针对核查发现的账务不规范、长期挂账、内控缺失、核算错误等问题，深入分析问题产生的制度漏洞、流程缺陷、管理疏忽等核心原因，结合单位实际制定可落地、可执行的专项整改方案及清理处置建议。</w:t>
      </w:r>
    </w:p>
    <w:p w14:paraId="16B42E82">
      <w:pPr>
        <w:widowControl/>
        <w:ind w:firstLine="560" w:firstLineChars="200"/>
        <w:jc w:val="left"/>
        <w:rPr>
          <w:rFonts w:hint="default" w:ascii="仿宋_GB2312" w:hAnsi="宋体" w:eastAsia="仿宋_GB2312" w:cs="宋体"/>
          <w:kern w:val="2"/>
          <w:sz w:val="28"/>
          <w:szCs w:val="32"/>
          <w:lang w:val="en-US" w:eastAsia="zh-CN" w:bidi="ar-SA"/>
        </w:rPr>
      </w:pPr>
      <w:r>
        <w:rPr>
          <w:rFonts w:hint="default" w:ascii="仿宋_GB2312" w:hAnsi="宋体" w:eastAsia="仿宋_GB2312" w:cs="宋体"/>
          <w:kern w:val="2"/>
          <w:sz w:val="28"/>
          <w:szCs w:val="32"/>
          <w:lang w:val="en-US" w:eastAsia="zh-CN" w:bidi="ar-SA"/>
        </w:rPr>
        <w:t>6. 协助账务整改清理：全程协助单位财务人员完成往来款项调账、核销、结清、追缴等清理整改工作，指导规范账务处理流程，解答账务清理过程中的各类专业问题，确保整改工作合规落地。</w:t>
      </w:r>
    </w:p>
    <w:p w14:paraId="2891374E">
      <w:pPr>
        <w:widowControl/>
        <w:ind w:firstLine="560" w:firstLineChars="200"/>
        <w:jc w:val="left"/>
        <w:rPr>
          <w:rFonts w:hint="default"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7</w:t>
      </w:r>
      <w:r>
        <w:rPr>
          <w:rFonts w:hint="default" w:ascii="仿宋_GB2312" w:hAnsi="宋体" w:eastAsia="仿宋_GB2312" w:cs="宋体"/>
          <w:kern w:val="2"/>
          <w:sz w:val="28"/>
          <w:szCs w:val="32"/>
          <w:lang w:val="en-US" w:eastAsia="zh-CN" w:bidi="ar-SA"/>
        </w:rPr>
        <w:t>. 编制专项审计成果资料：按照规范格式编制往来款项清理专项审计报告、清查台账、问题清单、整改汇总表等全套成果资料，确保数据真实、内容完整、结论准确、依据充分。</w:t>
      </w:r>
    </w:p>
    <w:p w14:paraId="16E0C324">
      <w:pPr>
        <w:widowControl/>
        <w:ind w:firstLine="562" w:firstLineChars="200"/>
        <w:jc w:val="left"/>
        <w:rPr>
          <w:rFonts w:hint="eastAsia" w:ascii="仿宋_GB2312" w:hAnsi="宋体" w:eastAsia="仿宋_GB2312" w:cs="宋体"/>
          <w:b/>
          <w:bCs/>
          <w:kern w:val="2"/>
          <w:sz w:val="28"/>
          <w:szCs w:val="32"/>
          <w:lang w:val="en-US" w:eastAsia="zh-CN" w:bidi="ar-SA"/>
        </w:rPr>
      </w:pPr>
      <w:r>
        <w:rPr>
          <w:rFonts w:hint="eastAsia" w:ascii="仿宋_GB2312" w:hAnsi="宋体" w:eastAsia="仿宋_GB2312" w:cs="宋体"/>
          <w:b/>
          <w:bCs/>
          <w:kern w:val="2"/>
          <w:sz w:val="28"/>
          <w:szCs w:val="32"/>
          <w:lang w:val="en-US" w:eastAsia="zh-CN" w:bidi="ar-SA"/>
        </w:rPr>
        <w:t>（四）投标人资格要求：</w:t>
      </w:r>
    </w:p>
    <w:p w14:paraId="6B96A1FD">
      <w:pPr>
        <w:widowControl/>
        <w:ind w:firstLine="560" w:firstLineChars="200"/>
        <w:jc w:val="left"/>
        <w:rPr>
          <w:rFonts w:hint="eastAsia"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所有证明材料均需复印件加盖单位公章，原件备查，具体要求如下：</w:t>
      </w:r>
    </w:p>
    <w:p w14:paraId="024B4F37">
      <w:pPr>
        <w:widowControl/>
        <w:ind w:firstLine="560" w:firstLineChars="200"/>
        <w:jc w:val="left"/>
        <w:rPr>
          <w:rFonts w:hint="eastAsia"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1.投标商必须具有独立法人资格，提供独立法人《营业执照》《税务登记证》《组织机构代码证》或《三证合一的营业执照》（复印件加盖公章）；</w:t>
      </w:r>
    </w:p>
    <w:p w14:paraId="73279049">
      <w:pPr>
        <w:widowControl/>
        <w:ind w:firstLine="560" w:firstLineChars="200"/>
        <w:jc w:val="left"/>
        <w:rPr>
          <w:rFonts w:hint="eastAsia"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2.投标商的企业法定代表人证明原件、授权委托人证明原件及法人和授权委托人居民身份证复印件（加盖公章）。</w:t>
      </w:r>
    </w:p>
    <w:p w14:paraId="413D85F8">
      <w:pPr>
        <w:widowControl/>
        <w:ind w:firstLine="562" w:firstLineChars="200"/>
        <w:jc w:val="left"/>
        <w:rPr>
          <w:rFonts w:hint="eastAsia" w:ascii="仿宋_GB2312" w:hAnsi="宋体" w:eastAsia="仿宋_GB2312" w:cs="宋体"/>
          <w:b/>
          <w:bCs/>
          <w:kern w:val="2"/>
          <w:sz w:val="28"/>
          <w:szCs w:val="32"/>
          <w:lang w:val="en-US" w:eastAsia="zh-CN" w:bidi="ar-SA"/>
        </w:rPr>
      </w:pPr>
      <w:r>
        <w:rPr>
          <w:rFonts w:hint="eastAsia" w:ascii="仿宋_GB2312" w:hAnsi="宋体" w:eastAsia="仿宋_GB2312" w:cs="宋体"/>
          <w:b/>
          <w:bCs/>
          <w:kern w:val="2"/>
          <w:sz w:val="28"/>
          <w:szCs w:val="32"/>
          <w:lang w:val="en-US" w:eastAsia="zh-CN" w:bidi="ar-SA"/>
        </w:rPr>
        <w:t>（五）项目要求：</w:t>
      </w:r>
    </w:p>
    <w:p w14:paraId="2D714D44">
      <w:pPr>
        <w:widowControl/>
        <w:ind w:firstLine="560" w:firstLineChars="200"/>
        <w:jc w:val="left"/>
        <w:rPr>
          <w:rFonts w:hint="default" w:ascii="仿宋_GB2312" w:hAnsi="宋体" w:eastAsia="仿宋_GB2312" w:cs="宋体"/>
          <w:kern w:val="2"/>
          <w:sz w:val="28"/>
          <w:szCs w:val="32"/>
          <w:lang w:val="en-US" w:eastAsia="zh-CN" w:bidi="ar-SA"/>
        </w:rPr>
      </w:pPr>
      <w:r>
        <w:rPr>
          <w:rFonts w:hint="default" w:ascii="仿宋_GB2312" w:hAnsi="宋体" w:eastAsia="仿宋_GB2312" w:cs="宋体"/>
          <w:kern w:val="2"/>
          <w:sz w:val="28"/>
          <w:szCs w:val="32"/>
          <w:lang w:val="en-US" w:eastAsia="zh-CN" w:bidi="ar-SA"/>
        </w:rPr>
        <w:t>1. 投标人须组建专项清理工作小组，驻场人员</w:t>
      </w:r>
      <w:r>
        <w:rPr>
          <w:rFonts w:hint="default" w:ascii="仿宋_GB2312" w:hAnsi="宋体" w:eastAsia="仿宋_GB2312" w:cs="宋体"/>
          <w:kern w:val="2"/>
          <w:sz w:val="28"/>
          <w:szCs w:val="32"/>
          <w:highlight w:val="none"/>
          <w:lang w:val="en-US" w:eastAsia="zh-CN" w:bidi="ar-SA"/>
        </w:rPr>
        <w:t>不少于</w:t>
      </w:r>
      <w:r>
        <w:rPr>
          <w:rFonts w:hint="eastAsia" w:ascii="仿宋_GB2312" w:hAnsi="宋体" w:eastAsia="仿宋_GB2312" w:cs="宋体"/>
          <w:kern w:val="2"/>
          <w:sz w:val="28"/>
          <w:szCs w:val="32"/>
          <w:highlight w:val="none"/>
          <w:lang w:val="en-US" w:eastAsia="zh-CN" w:bidi="ar-SA"/>
        </w:rPr>
        <w:t>3</w:t>
      </w:r>
      <w:r>
        <w:rPr>
          <w:rFonts w:hint="default" w:ascii="仿宋_GB2312" w:hAnsi="宋体" w:eastAsia="仿宋_GB2312" w:cs="宋体"/>
          <w:kern w:val="2"/>
          <w:sz w:val="28"/>
          <w:szCs w:val="32"/>
          <w:highlight w:val="none"/>
          <w:lang w:val="en-US" w:eastAsia="zh-CN" w:bidi="ar-SA"/>
        </w:rPr>
        <w:t>人</w:t>
      </w:r>
      <w:r>
        <w:rPr>
          <w:rFonts w:hint="default" w:ascii="仿宋_GB2312" w:hAnsi="宋体" w:eastAsia="仿宋_GB2312" w:cs="宋体"/>
          <w:kern w:val="2"/>
          <w:sz w:val="28"/>
          <w:szCs w:val="32"/>
          <w:lang w:val="en-US" w:eastAsia="zh-CN" w:bidi="ar-SA"/>
        </w:rPr>
        <w:t>（含项目负责人）；项目负责人须具备中级及以上会计职称或注册会计师执业资格，项目负责人一经确定，未经甲方同意不得擅自更换。</w:t>
      </w:r>
    </w:p>
    <w:p w14:paraId="012D8751">
      <w:pPr>
        <w:widowControl/>
        <w:ind w:firstLine="560" w:firstLineChars="200"/>
        <w:jc w:val="left"/>
        <w:rPr>
          <w:rFonts w:hint="default" w:ascii="仿宋_GB2312" w:hAnsi="宋体" w:eastAsia="仿宋_GB2312" w:cs="宋体"/>
          <w:kern w:val="2"/>
          <w:sz w:val="28"/>
          <w:szCs w:val="32"/>
          <w:lang w:val="en-US" w:eastAsia="zh-CN" w:bidi="ar-SA"/>
        </w:rPr>
      </w:pPr>
      <w:r>
        <w:rPr>
          <w:rFonts w:hint="default" w:ascii="仿宋_GB2312" w:hAnsi="宋体" w:eastAsia="仿宋_GB2312" w:cs="宋体"/>
          <w:kern w:val="2"/>
          <w:sz w:val="28"/>
          <w:szCs w:val="32"/>
          <w:lang w:val="en-US" w:eastAsia="zh-CN" w:bidi="ar-SA"/>
        </w:rPr>
        <w:t>2. 投标文件须提交完整项目实施方案，明确项目人员名单及对应资质，方案所列人员为实际进场人员，全程驻场办公，未经院方许可不得更换。</w:t>
      </w:r>
    </w:p>
    <w:p w14:paraId="22C9A047">
      <w:pPr>
        <w:widowControl/>
        <w:ind w:firstLine="560" w:firstLineChars="200"/>
        <w:jc w:val="left"/>
        <w:rPr>
          <w:rFonts w:hint="eastAsia" w:ascii="仿宋_GB2312" w:hAnsi="宋体" w:eastAsia="仿宋_GB2312" w:cs="宋体"/>
          <w:kern w:val="2"/>
          <w:sz w:val="28"/>
          <w:szCs w:val="32"/>
          <w:lang w:val="en-US" w:eastAsia="zh-CN" w:bidi="ar-SA"/>
        </w:rPr>
      </w:pPr>
      <w:r>
        <w:rPr>
          <w:rFonts w:hint="default" w:ascii="仿宋_GB2312" w:hAnsi="宋体" w:eastAsia="仿宋_GB2312" w:cs="宋体"/>
          <w:kern w:val="2"/>
          <w:sz w:val="28"/>
          <w:szCs w:val="32"/>
          <w:lang w:val="en-US" w:eastAsia="zh-CN" w:bidi="ar-SA"/>
        </w:rPr>
        <w:t>3. 投标人须具备良好的同类服务经验，提供2023年1月至今不少于3份行政事业单位</w:t>
      </w:r>
      <w:r>
        <w:rPr>
          <w:rFonts w:hint="default" w:ascii="仿宋_GB2312" w:hAnsi="宋体" w:eastAsia="仿宋_GB2312" w:cs="宋体"/>
          <w:kern w:val="2"/>
          <w:sz w:val="28"/>
          <w:szCs w:val="32"/>
          <w:highlight w:val="none"/>
          <w:lang w:val="en-US" w:eastAsia="zh-CN" w:bidi="ar-SA"/>
        </w:rPr>
        <w:t>财务审计同类业绩</w:t>
      </w:r>
      <w:r>
        <w:rPr>
          <w:rFonts w:hint="default" w:ascii="仿宋_GB2312" w:hAnsi="宋体" w:eastAsia="仿宋_GB2312" w:cs="宋体"/>
          <w:kern w:val="2"/>
          <w:sz w:val="28"/>
          <w:szCs w:val="32"/>
          <w:lang w:val="en-US" w:eastAsia="zh-CN" w:bidi="ar-SA"/>
        </w:rPr>
        <w:t>证明材料</w:t>
      </w:r>
      <w:r>
        <w:rPr>
          <w:rFonts w:hint="eastAsia" w:ascii="仿宋_GB2312" w:hAnsi="宋体" w:eastAsia="仿宋_GB2312" w:cs="宋体"/>
          <w:kern w:val="2"/>
          <w:sz w:val="28"/>
          <w:szCs w:val="32"/>
          <w:lang w:val="en-US" w:eastAsia="zh-CN" w:bidi="ar-SA"/>
        </w:rPr>
        <w:t>，须提供完整合同复印件，体现项目名称、服务内容、合同金额及签约时间。</w:t>
      </w:r>
    </w:p>
    <w:p w14:paraId="5531CC2E">
      <w:pPr>
        <w:widowControl/>
        <w:ind w:firstLine="560" w:firstLineChars="200"/>
        <w:jc w:val="left"/>
        <w:rPr>
          <w:rFonts w:hint="default"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4</w:t>
      </w:r>
      <w:r>
        <w:rPr>
          <w:rFonts w:hint="default" w:ascii="仿宋_GB2312" w:hAnsi="宋体" w:eastAsia="仿宋_GB2312" w:cs="宋体"/>
          <w:kern w:val="2"/>
          <w:sz w:val="28"/>
          <w:szCs w:val="32"/>
          <w:lang w:val="en-US" w:eastAsia="zh-CN" w:bidi="ar-SA"/>
        </w:rPr>
        <w:t>. 本项目严禁转包、违法分包，一经发现，甲方有权立即终止合同、不予验收付款，并追究相关责任。</w:t>
      </w:r>
    </w:p>
    <w:p w14:paraId="6A933DAA">
      <w:pPr>
        <w:widowControl/>
        <w:ind w:firstLine="560" w:firstLineChars="200"/>
        <w:jc w:val="left"/>
        <w:rPr>
          <w:rFonts w:hint="eastAsia"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5</w:t>
      </w:r>
      <w:r>
        <w:rPr>
          <w:rFonts w:hint="default" w:ascii="仿宋_GB2312" w:hAnsi="宋体" w:eastAsia="仿宋_GB2312" w:cs="宋体"/>
          <w:kern w:val="2"/>
          <w:sz w:val="28"/>
          <w:szCs w:val="32"/>
          <w:lang w:val="en-US" w:eastAsia="zh-CN" w:bidi="ar-SA"/>
        </w:rPr>
        <w:t>. 严格遵守单位保密规定，对项目涉及的财务数据、绩效信息、内部资料严格保密，严禁以任何形式向第三方泄露。</w:t>
      </w:r>
    </w:p>
    <w:p w14:paraId="4B42D50B">
      <w:pPr>
        <w:widowControl/>
        <w:ind w:firstLine="562" w:firstLineChars="200"/>
        <w:jc w:val="left"/>
        <w:rPr>
          <w:rFonts w:hint="eastAsia" w:ascii="仿宋_GB2312" w:hAnsi="宋体" w:eastAsia="仿宋_GB2312" w:cs="宋体"/>
          <w:b/>
          <w:bCs/>
          <w:kern w:val="2"/>
          <w:sz w:val="28"/>
          <w:szCs w:val="32"/>
          <w:lang w:val="en-US" w:eastAsia="zh-CN" w:bidi="ar-SA"/>
        </w:rPr>
      </w:pPr>
      <w:r>
        <w:rPr>
          <w:rFonts w:hint="eastAsia" w:ascii="仿宋_GB2312" w:hAnsi="宋体" w:eastAsia="仿宋_GB2312" w:cs="宋体"/>
          <w:b/>
          <w:bCs/>
          <w:kern w:val="2"/>
          <w:sz w:val="28"/>
          <w:szCs w:val="32"/>
          <w:lang w:val="en-US" w:eastAsia="zh-CN" w:bidi="ar-SA"/>
        </w:rPr>
        <w:t>（六）项目成果：</w:t>
      </w:r>
    </w:p>
    <w:p w14:paraId="04AEBBEE">
      <w:pPr>
        <w:widowControl/>
        <w:ind w:firstLine="560" w:firstLineChars="200"/>
        <w:jc w:val="left"/>
        <w:rPr>
          <w:rFonts w:hint="eastAsia"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项目完成后须提交以下全套正式成果资料：</w:t>
      </w:r>
    </w:p>
    <w:p w14:paraId="10B4DF40">
      <w:pPr>
        <w:widowControl/>
        <w:ind w:firstLine="560" w:firstLineChars="200"/>
        <w:jc w:val="left"/>
        <w:rPr>
          <w:rFonts w:hint="eastAsia"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1. 《财务往来款项清理专项审计工作报告》，包含项目概况、审计依据、核查范围、工作流程、往来款项整体情况、问题汇总、风险分析、整改结论、优化建议等完整内容；</w:t>
      </w:r>
    </w:p>
    <w:p w14:paraId="67C9B3FE">
      <w:pPr>
        <w:widowControl/>
        <w:ind w:firstLine="560" w:firstLineChars="200"/>
        <w:jc w:val="left"/>
        <w:rPr>
          <w:rFonts w:hint="eastAsia"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2. 往来款项清查明细台账，完整列明每笔款项发生信息、挂账时长、核查结果、款项分类及处置建议；</w:t>
      </w:r>
    </w:p>
    <w:p w14:paraId="0C899F98">
      <w:pPr>
        <w:widowControl/>
        <w:ind w:firstLine="560" w:firstLineChars="200"/>
        <w:jc w:val="left"/>
        <w:rPr>
          <w:rFonts w:hint="eastAsia"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3. 往来款项问题清单、整改措施对照表；</w:t>
      </w:r>
    </w:p>
    <w:p w14:paraId="6BFC7842">
      <w:pPr>
        <w:widowControl/>
        <w:ind w:firstLine="560" w:firstLineChars="200"/>
        <w:jc w:val="left"/>
        <w:rPr>
          <w:rFonts w:hint="eastAsia"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4. 账务清理、调账、核销等专项操作指导说明及合规依据资料；</w:t>
      </w:r>
    </w:p>
    <w:p w14:paraId="7096577A">
      <w:pPr>
        <w:widowControl/>
        <w:ind w:firstLine="560" w:firstLineChars="200"/>
        <w:jc w:val="left"/>
        <w:rPr>
          <w:rFonts w:hint="eastAsia"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5. 项目工作底稿、核查记录、资料核对清单等过程性存档资料。</w:t>
      </w:r>
    </w:p>
    <w:p w14:paraId="5B9C665B">
      <w:pPr>
        <w:widowControl/>
        <w:ind w:firstLine="560" w:firstLineChars="200"/>
        <w:jc w:val="left"/>
        <w:rPr>
          <w:rFonts w:hint="eastAsia"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所有成果资料需提供纸质版一式肆份、电子版全套1份，纸质材料加盖单位公章，格式规范、装订成册，满足单位财务归档要求。</w:t>
      </w:r>
    </w:p>
    <w:p w14:paraId="29D49676">
      <w:pPr>
        <w:widowControl/>
        <w:ind w:firstLine="562" w:firstLineChars="200"/>
        <w:jc w:val="left"/>
        <w:rPr>
          <w:rFonts w:hint="eastAsia" w:ascii="仿宋_GB2312" w:hAnsi="宋体" w:eastAsia="仿宋_GB2312" w:cs="宋体"/>
          <w:b/>
          <w:bCs/>
          <w:kern w:val="2"/>
          <w:sz w:val="28"/>
          <w:szCs w:val="32"/>
          <w:lang w:val="en-US" w:eastAsia="zh-CN" w:bidi="ar-SA"/>
        </w:rPr>
      </w:pPr>
      <w:r>
        <w:rPr>
          <w:rFonts w:hint="eastAsia" w:ascii="仿宋_GB2312" w:hAnsi="宋体" w:eastAsia="仿宋_GB2312" w:cs="宋体"/>
          <w:b/>
          <w:bCs/>
          <w:kern w:val="2"/>
          <w:sz w:val="28"/>
          <w:szCs w:val="32"/>
          <w:lang w:val="en-US" w:eastAsia="zh-CN" w:bidi="ar-SA"/>
        </w:rPr>
        <w:t>（七）保密要求：</w:t>
      </w:r>
    </w:p>
    <w:p w14:paraId="165B4D72">
      <w:pPr>
        <w:widowControl/>
        <w:ind w:firstLine="560" w:firstLineChars="200"/>
        <w:jc w:val="left"/>
        <w:rPr>
          <w:rFonts w:hint="eastAsia"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成交单位须严格恪守永久保密义务，对项目实施过程中获取的单位账务数据、内部管理信息等全部涉密内容严禁外泄、传播、转借或用于本项目以外用途。项目结束后须妥善销毁涉密底稿资料，若发生泄密行为，甲方有权追责、扣除项目尾款并终止合作。</w:t>
      </w:r>
    </w:p>
    <w:p w14:paraId="21CF8CE7">
      <w:pPr>
        <w:keepNext w:val="0"/>
        <w:keepLines w:val="0"/>
        <w:pageBreakBefore w:val="0"/>
        <w:kinsoku/>
        <w:wordWrap/>
        <w:overflowPunct/>
        <w:topLinePunct w:val="0"/>
        <w:autoSpaceDE/>
        <w:autoSpaceDN/>
        <w:bidi w:val="0"/>
        <w:adjustRightInd w:val="0"/>
        <w:snapToGrid w:val="0"/>
        <w:spacing w:line="560" w:lineRule="exact"/>
        <w:ind w:firstLine="562" w:firstLineChars="200"/>
        <w:jc w:val="left"/>
        <w:textAlignment w:val="auto"/>
        <w:rPr>
          <w:rFonts w:hint="eastAsia" w:ascii="方正仿宋_GB2312" w:hAnsi="方正仿宋_GB2312" w:eastAsia="方正仿宋_GB2312" w:cs="方正仿宋_GB2312"/>
          <w:b/>
          <w:bCs/>
          <w:kern w:val="2"/>
          <w:sz w:val="28"/>
          <w:szCs w:val="28"/>
          <w:highlight w:val="none"/>
          <w:lang w:val="en-US" w:eastAsia="zh-CN" w:bidi="ar-SA"/>
        </w:rPr>
      </w:pPr>
      <w:r>
        <w:rPr>
          <w:rFonts w:hint="eastAsia" w:ascii="方正仿宋_GB2312" w:hAnsi="方正仿宋_GB2312" w:eastAsia="方正仿宋_GB2312" w:cs="方正仿宋_GB2312"/>
          <w:b/>
          <w:bCs/>
          <w:sz w:val="28"/>
          <w:szCs w:val="28"/>
          <w:lang w:eastAsia="zh-CN"/>
        </w:rPr>
        <w:t>三、</w:t>
      </w:r>
      <w:r>
        <w:rPr>
          <w:rFonts w:hint="eastAsia" w:ascii="方正仿宋_GB2312" w:hAnsi="方正仿宋_GB2312" w:eastAsia="方正仿宋_GB2312" w:cs="方正仿宋_GB2312"/>
          <w:b/>
          <w:bCs/>
          <w:kern w:val="2"/>
          <w:sz w:val="28"/>
          <w:szCs w:val="28"/>
          <w:highlight w:val="none"/>
          <w:lang w:val="en-US" w:eastAsia="zh-CN" w:bidi="ar-SA"/>
        </w:rPr>
        <w:t>商务要求：</w:t>
      </w:r>
    </w:p>
    <w:p w14:paraId="0287DE17">
      <w:pPr>
        <w:widowControl/>
        <w:ind w:firstLine="560" w:firstLineChars="200"/>
        <w:jc w:val="left"/>
        <w:rPr>
          <w:rFonts w:hint="default" w:ascii="仿宋_GB2312" w:hAnsi="宋体" w:eastAsia="仿宋_GB2312" w:cs="宋体"/>
          <w:kern w:val="2"/>
          <w:sz w:val="28"/>
          <w:szCs w:val="32"/>
          <w:lang w:val="en-US" w:eastAsia="zh-CN" w:bidi="ar-SA"/>
        </w:rPr>
      </w:pPr>
      <w:r>
        <w:rPr>
          <w:rFonts w:hint="eastAsia" w:ascii="仿宋_GB2312" w:hAnsi="宋体" w:eastAsia="仿宋_GB2312" w:cs="宋体"/>
          <w:kern w:val="2"/>
          <w:sz w:val="28"/>
          <w:szCs w:val="32"/>
          <w:lang w:val="en-US" w:eastAsia="zh-CN" w:bidi="ar-SA"/>
        </w:rPr>
        <w:t>1.合同履行期限：合同签订后6个月内完成全部工作，项目现场驻场办公时长不少于40个工作日。</w:t>
      </w:r>
    </w:p>
    <w:p w14:paraId="18F4C9BF">
      <w:pPr>
        <w:widowControl/>
        <w:ind w:firstLine="560" w:firstLineChars="200"/>
        <w:jc w:val="left"/>
        <w:rPr>
          <w:rFonts w:hint="default" w:ascii="仿宋_GB2312" w:hAnsi="宋体" w:eastAsia="仿宋_GB2312" w:cs="宋体"/>
          <w:color w:val="auto"/>
          <w:kern w:val="2"/>
          <w:sz w:val="28"/>
          <w:szCs w:val="32"/>
          <w:lang w:val="en-US" w:eastAsia="zh-CN" w:bidi="ar-SA"/>
        </w:rPr>
      </w:pPr>
      <w:r>
        <w:rPr>
          <w:rFonts w:hint="eastAsia" w:ascii="仿宋_GB2312" w:hAnsi="宋体" w:eastAsia="仿宋_GB2312" w:cs="宋体"/>
          <w:kern w:val="2"/>
          <w:sz w:val="28"/>
          <w:szCs w:val="32"/>
          <w:lang w:val="en-US" w:eastAsia="zh-CN" w:bidi="ar-SA"/>
        </w:rPr>
        <w:t>2.验收方式：按本项目第六条成果标准组织验收，要求服务内容全覆盖、无缺项漏项，账务核查全面完整；审计数据真实准确、逻辑严谨，问题认定依据充分，整改建议可落地；成果资料规范齐全、签章完备，满足单位财务归档及上级核查要求，成交单位须全程配合完成整改复核工作</w:t>
      </w:r>
      <w:r>
        <w:rPr>
          <w:rFonts w:hint="eastAsia" w:ascii="仿宋_GB2312" w:hAnsi="宋体" w:eastAsia="仿宋_GB2312" w:cs="宋体"/>
          <w:color w:val="auto"/>
          <w:kern w:val="2"/>
          <w:sz w:val="28"/>
          <w:szCs w:val="32"/>
          <w:lang w:val="en-US" w:eastAsia="zh-CN" w:bidi="ar-SA"/>
        </w:rPr>
        <w:t>。</w:t>
      </w:r>
    </w:p>
    <w:p w14:paraId="5390B8C5">
      <w:pPr>
        <w:adjustRightInd w:val="0"/>
        <w:snapToGrid w:val="0"/>
        <w:spacing w:line="360" w:lineRule="auto"/>
        <w:ind w:firstLine="560" w:firstLineChars="200"/>
        <w:jc w:val="left"/>
        <w:rPr>
          <w:rFonts w:hint="default" w:ascii="仿宋_GB2312" w:hAnsi="宋体" w:eastAsia="仿宋_GB2312" w:cs="宋体"/>
          <w:color w:val="auto"/>
          <w:kern w:val="2"/>
          <w:sz w:val="28"/>
          <w:szCs w:val="32"/>
          <w:highlight w:val="none"/>
          <w:lang w:val="en-US" w:eastAsia="zh-CN" w:bidi="ar-SA"/>
        </w:rPr>
      </w:pPr>
      <w:r>
        <w:rPr>
          <w:rFonts w:hint="default" w:ascii="仿宋_GB2312" w:hAnsi="宋体" w:eastAsia="仿宋_GB2312" w:cs="宋体"/>
          <w:color w:val="auto"/>
          <w:kern w:val="2"/>
          <w:sz w:val="28"/>
          <w:szCs w:val="32"/>
          <w:highlight w:val="none"/>
          <w:lang w:val="en-US" w:eastAsia="zh-CN" w:bidi="ar-SA"/>
        </w:rPr>
        <w:t>3.付款方式：分期付款。合同签订且收到合规请款资料后支付首期款20%；提交审计工作报告初稿、清查台账、问题清单及账务清理、调账、核销等专项操作指导说明等并经甲方初审合格后支付中期款20%；项目整体验收合格、协助甲方完成全部整改工作后付清余款60%</w:t>
      </w:r>
    </w:p>
    <w:p w14:paraId="4B77E441">
      <w:pPr>
        <w:adjustRightInd w:val="0"/>
        <w:snapToGrid w:val="0"/>
        <w:spacing w:line="360" w:lineRule="auto"/>
        <w:ind w:firstLine="560" w:firstLineChars="200"/>
        <w:jc w:val="left"/>
        <w:rPr>
          <w:rFonts w:hint="default" w:ascii="仿宋_GB2312" w:hAnsi="宋体" w:eastAsia="仿宋_GB2312" w:cs="宋体"/>
          <w:color w:val="FF0000"/>
          <w:kern w:val="2"/>
          <w:sz w:val="28"/>
          <w:szCs w:val="32"/>
          <w:highlight w:val="none"/>
          <w:lang w:val="en-US" w:eastAsia="zh-CN" w:bidi="ar-SA"/>
        </w:rPr>
      </w:pPr>
    </w:p>
    <w:p w14:paraId="49911645">
      <w:pPr>
        <w:adjustRightInd w:val="0"/>
        <w:snapToGrid w:val="0"/>
        <w:spacing w:line="360" w:lineRule="auto"/>
        <w:jc w:val="left"/>
        <w:rPr>
          <w:rFonts w:hint="eastAsia" w:ascii="方正仿宋_GB2312" w:hAnsi="方正仿宋_GB2312" w:eastAsia="方正仿宋_GB2312" w:cs="方正仿宋_GB2312"/>
          <w:b/>
          <w:bCs/>
          <w:snapToGrid w:val="0"/>
          <w:color w:val="FF0000"/>
          <w:kern w:val="0"/>
          <w:sz w:val="28"/>
          <w:szCs w:val="28"/>
        </w:rPr>
      </w:pPr>
      <w:r>
        <w:rPr>
          <w:rFonts w:hint="eastAsia" w:ascii="方正仿宋_GB2312" w:hAnsi="方正仿宋_GB2312" w:eastAsia="方正仿宋_GB2312" w:cs="方正仿宋_GB2312"/>
          <w:b/>
          <w:bCs/>
          <w:snapToGrid w:val="0"/>
          <w:color w:val="FF0000"/>
          <w:kern w:val="0"/>
          <w:sz w:val="28"/>
          <w:szCs w:val="28"/>
          <w:highlight w:val="none"/>
        </w:rPr>
        <w:t>供应商响应</w:t>
      </w:r>
      <w:r>
        <w:rPr>
          <w:rFonts w:hint="eastAsia" w:ascii="方正仿宋_GB2312" w:hAnsi="方正仿宋_GB2312" w:eastAsia="方正仿宋_GB2312" w:cs="方正仿宋_GB2312"/>
          <w:b/>
          <w:bCs/>
          <w:snapToGrid w:val="0"/>
          <w:color w:val="FF0000"/>
          <w:kern w:val="0"/>
          <w:sz w:val="28"/>
          <w:szCs w:val="28"/>
          <w:highlight w:val="none"/>
          <w:lang w:val="en-US" w:eastAsia="zh-CN"/>
        </w:rPr>
        <w:t>以上</w:t>
      </w:r>
      <w:r>
        <w:rPr>
          <w:rFonts w:hint="eastAsia" w:ascii="方正仿宋_GB2312" w:hAnsi="方正仿宋_GB2312" w:eastAsia="方正仿宋_GB2312" w:cs="方正仿宋_GB2312"/>
          <w:b/>
          <w:bCs/>
          <w:snapToGrid w:val="0"/>
          <w:color w:val="FF0000"/>
          <w:kern w:val="0"/>
          <w:sz w:val="28"/>
          <w:szCs w:val="28"/>
          <w:highlight w:val="none"/>
        </w:rPr>
        <w:t>需求后，需求必须盖章</w:t>
      </w:r>
      <w:r>
        <w:rPr>
          <w:rFonts w:hint="eastAsia" w:ascii="方正仿宋_GB2312" w:hAnsi="方正仿宋_GB2312" w:eastAsia="方正仿宋_GB2312" w:cs="方正仿宋_GB2312"/>
          <w:b/>
          <w:bCs/>
          <w:snapToGrid w:val="0"/>
          <w:color w:val="FF0000"/>
          <w:kern w:val="0"/>
          <w:sz w:val="28"/>
          <w:szCs w:val="28"/>
          <w:highlight w:val="none"/>
          <w:lang w:val="en-US" w:eastAsia="zh-CN"/>
        </w:rPr>
        <w:t>及</w:t>
      </w:r>
      <w:r>
        <w:rPr>
          <w:rFonts w:hint="eastAsia" w:ascii="方正仿宋_GB2312" w:hAnsi="方正仿宋_GB2312" w:eastAsia="方正仿宋_GB2312" w:cs="方正仿宋_GB2312"/>
          <w:b/>
          <w:bCs/>
          <w:snapToGrid w:val="0"/>
          <w:color w:val="FF0000"/>
          <w:kern w:val="0"/>
          <w:sz w:val="28"/>
          <w:szCs w:val="28"/>
          <w:highlight w:val="none"/>
        </w:rPr>
        <w:t>法人签字确定</w:t>
      </w:r>
      <w:r>
        <w:rPr>
          <w:rFonts w:hint="eastAsia" w:ascii="方正仿宋_GB2312" w:hAnsi="方正仿宋_GB2312" w:eastAsia="方正仿宋_GB2312" w:cs="方正仿宋_GB2312"/>
          <w:b/>
          <w:bCs/>
          <w:snapToGrid w:val="0"/>
          <w:color w:val="FF0000"/>
          <w:kern w:val="0"/>
          <w:sz w:val="28"/>
          <w:szCs w:val="28"/>
        </w:rPr>
        <w:t>。</w:t>
      </w: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年月日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年月日</w:t>
      </w:r>
    </w:p>
    <w:p w14:paraId="19F20853">
      <w:pPr>
        <w:spacing w:line="360" w:lineRule="auto"/>
        <w:rPr>
          <w:rFonts w:ascii="宋体" w:hAnsi="宋体"/>
          <w:sz w:val="28"/>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4" w:name="_格式2__投标保证金凭证"/>
      <w:bookmarkEnd w:id="4"/>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6"/>
        <w:tblW w:w="5286"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914"/>
        <w:gridCol w:w="1034"/>
        <w:gridCol w:w="1205"/>
        <w:gridCol w:w="999"/>
        <w:gridCol w:w="1780"/>
        <w:gridCol w:w="1600"/>
      </w:tblGrid>
      <w:tr w14:paraId="462647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 w:type="pct"/>
            <w:tcBorders>
              <w:top w:val="double" w:color="auto" w:sz="4" w:space="0"/>
              <w:bottom w:val="single" w:color="auto" w:sz="4" w:space="0"/>
            </w:tcBorders>
            <w:shd w:val="clear" w:color="auto" w:fill="FFFFFF"/>
            <w:vAlign w:val="center"/>
          </w:tcPr>
          <w:p w14:paraId="3DDB72F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1021" w:type="pct"/>
            <w:tcBorders>
              <w:top w:val="double" w:color="auto" w:sz="4" w:space="0"/>
              <w:bottom w:val="single" w:color="auto" w:sz="4" w:space="0"/>
            </w:tcBorders>
            <w:shd w:val="clear" w:color="auto" w:fill="FFFFFF"/>
            <w:vAlign w:val="center"/>
          </w:tcPr>
          <w:p w14:paraId="73F3290C">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内容</w:t>
            </w:r>
          </w:p>
        </w:tc>
        <w:tc>
          <w:tcPr>
            <w:tcW w:w="552" w:type="pct"/>
            <w:tcBorders>
              <w:top w:val="double" w:color="auto" w:sz="4" w:space="0"/>
              <w:bottom w:val="single" w:color="auto" w:sz="4" w:space="0"/>
            </w:tcBorders>
            <w:shd w:val="clear" w:color="auto" w:fill="FFFFFF"/>
            <w:vAlign w:val="center"/>
          </w:tcPr>
          <w:p w14:paraId="56FDB29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数量</w:t>
            </w:r>
          </w:p>
        </w:tc>
        <w:tc>
          <w:tcPr>
            <w:tcW w:w="643" w:type="pct"/>
            <w:tcBorders>
              <w:top w:val="double" w:color="auto" w:sz="4" w:space="0"/>
              <w:bottom w:val="single" w:color="auto" w:sz="4" w:space="0"/>
            </w:tcBorders>
            <w:shd w:val="clear" w:color="auto" w:fill="FFFFFF"/>
            <w:vAlign w:val="center"/>
          </w:tcPr>
          <w:p w14:paraId="4731F349">
            <w:pPr>
              <w:adjustRightInd w:val="0"/>
              <w:snapToGrid w:val="0"/>
              <w:spacing w:line="360" w:lineRule="auto"/>
              <w:jc w:val="center"/>
              <w:rPr>
                <w:rFonts w:hint="default" w:ascii="宋体" w:hAnsi="宋体" w:eastAsia="宋体"/>
                <w:b/>
                <w:bCs/>
                <w:snapToGrid w:val="0"/>
                <w:kern w:val="0"/>
                <w:sz w:val="24"/>
                <w:lang w:val="en-US" w:eastAsia="zh-CN"/>
              </w:rPr>
            </w:pPr>
            <w:r>
              <w:rPr>
                <w:rFonts w:hint="eastAsia" w:ascii="宋体" w:hAnsi="宋体"/>
                <w:b/>
                <w:bCs/>
                <w:snapToGrid w:val="0"/>
                <w:kern w:val="0"/>
                <w:sz w:val="24"/>
                <w:lang w:val="en-US" w:eastAsia="zh-CN"/>
              </w:rPr>
              <w:t>品牌规格</w:t>
            </w:r>
          </w:p>
        </w:tc>
        <w:tc>
          <w:tcPr>
            <w:tcW w:w="533" w:type="pct"/>
            <w:tcBorders>
              <w:top w:val="double" w:color="auto" w:sz="4" w:space="0"/>
              <w:bottom w:val="single" w:color="auto" w:sz="4" w:space="0"/>
            </w:tcBorders>
            <w:shd w:val="clear" w:color="auto" w:fill="FFFFFF"/>
            <w:vAlign w:val="center"/>
          </w:tcPr>
          <w:p w14:paraId="439B1CC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950" w:type="pct"/>
            <w:tcBorders>
              <w:top w:val="double" w:color="auto" w:sz="4" w:space="0"/>
              <w:bottom w:val="single" w:color="auto" w:sz="4" w:space="0"/>
            </w:tcBorders>
            <w:shd w:val="clear" w:color="auto" w:fill="FFFFFF"/>
            <w:vAlign w:val="center"/>
          </w:tcPr>
          <w:p w14:paraId="793E704E">
            <w:pPr>
              <w:adjustRightInd w:val="0"/>
              <w:snapToGrid w:val="0"/>
              <w:spacing w:line="360" w:lineRule="auto"/>
              <w:ind w:firstLine="120" w:firstLineChars="50"/>
              <w:jc w:val="center"/>
              <w:rPr>
                <w:rFonts w:ascii="宋体" w:hAnsi="宋体"/>
                <w:b/>
                <w:bCs/>
                <w:snapToGrid w:val="0"/>
                <w:kern w:val="0"/>
                <w:sz w:val="24"/>
              </w:rPr>
            </w:pPr>
            <w:r>
              <w:rPr>
                <w:rFonts w:hint="eastAsia" w:ascii="宋体" w:hAnsi="宋体"/>
                <w:b/>
                <w:bCs/>
                <w:snapToGrid w:val="0"/>
                <w:kern w:val="0"/>
                <w:sz w:val="24"/>
              </w:rPr>
              <w:t>单价</w:t>
            </w:r>
          </w:p>
        </w:tc>
        <w:tc>
          <w:tcPr>
            <w:tcW w:w="853" w:type="pct"/>
            <w:tcBorders>
              <w:top w:val="double" w:color="auto" w:sz="4" w:space="0"/>
              <w:bottom w:val="single" w:color="auto" w:sz="4" w:space="0"/>
            </w:tcBorders>
            <w:shd w:val="clear" w:color="auto" w:fill="FFFFFF"/>
            <w:vAlign w:val="center"/>
          </w:tcPr>
          <w:p w14:paraId="607DC345">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72522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 w:type="pct"/>
            <w:tcBorders>
              <w:top w:val="single" w:color="auto" w:sz="4" w:space="0"/>
            </w:tcBorders>
            <w:vAlign w:val="center"/>
          </w:tcPr>
          <w:p w14:paraId="15165AEF">
            <w:pPr>
              <w:adjustRightInd w:val="0"/>
              <w:snapToGrid w:val="0"/>
              <w:spacing w:line="360" w:lineRule="auto"/>
              <w:jc w:val="center"/>
              <w:rPr>
                <w:rFonts w:hint="eastAsia" w:ascii="宋体" w:hAnsi="宋体"/>
                <w:bCs/>
                <w:snapToGrid w:val="0"/>
                <w:kern w:val="0"/>
                <w:sz w:val="24"/>
                <w:highlight w:val="none"/>
              </w:rPr>
            </w:pPr>
            <w:r>
              <w:rPr>
                <w:rFonts w:hint="eastAsia" w:ascii="宋体" w:hAnsi="宋体"/>
                <w:bCs/>
                <w:snapToGrid w:val="0"/>
                <w:kern w:val="0"/>
                <w:sz w:val="24"/>
                <w:highlight w:val="none"/>
              </w:rPr>
              <w:t>1</w:t>
            </w:r>
          </w:p>
        </w:tc>
        <w:tc>
          <w:tcPr>
            <w:tcW w:w="1021" w:type="pct"/>
            <w:tcBorders>
              <w:top w:val="single" w:color="auto" w:sz="4" w:space="0"/>
            </w:tcBorders>
            <w:vAlign w:val="center"/>
          </w:tcPr>
          <w:p w14:paraId="3440D226">
            <w:pPr>
              <w:adjustRightInd w:val="0"/>
              <w:snapToGrid w:val="0"/>
              <w:spacing w:line="360" w:lineRule="auto"/>
              <w:jc w:val="center"/>
              <w:rPr>
                <w:rFonts w:hint="default" w:ascii="宋体" w:hAnsi="宋体"/>
                <w:bCs/>
                <w:snapToGrid w:val="0"/>
                <w:kern w:val="0"/>
                <w:sz w:val="24"/>
                <w:highlight w:val="none"/>
                <w:lang w:val="en-US" w:eastAsia="zh-CN"/>
              </w:rPr>
            </w:pPr>
            <w:r>
              <w:rPr>
                <w:rFonts w:hint="eastAsia" w:ascii="宋体" w:hAnsi="宋体"/>
                <w:bCs/>
                <w:snapToGrid w:val="0"/>
                <w:kern w:val="0"/>
                <w:sz w:val="24"/>
                <w:highlight w:val="none"/>
                <w:lang w:val="en-US" w:eastAsia="zh-CN"/>
              </w:rPr>
              <w:t xml:space="preserve">南山区医疗集团总部财务往来款项清理专项审计服务项目 </w:t>
            </w:r>
          </w:p>
        </w:tc>
        <w:tc>
          <w:tcPr>
            <w:tcW w:w="552" w:type="pct"/>
            <w:tcBorders>
              <w:top w:val="single" w:color="auto" w:sz="4" w:space="0"/>
            </w:tcBorders>
            <w:vAlign w:val="center"/>
          </w:tcPr>
          <w:p w14:paraId="132CD51E">
            <w:pPr>
              <w:adjustRightInd w:val="0"/>
              <w:snapToGrid w:val="0"/>
              <w:spacing w:line="360" w:lineRule="auto"/>
              <w:jc w:val="center"/>
              <w:rPr>
                <w:rFonts w:hint="eastAsia" w:ascii="宋体" w:hAnsi="宋体" w:eastAsia="宋体"/>
                <w:bCs/>
                <w:snapToGrid w:val="0"/>
                <w:kern w:val="0"/>
                <w:sz w:val="24"/>
                <w:highlight w:val="none"/>
                <w:lang w:val="en-US" w:eastAsia="zh-CN"/>
              </w:rPr>
            </w:pPr>
            <w:r>
              <w:rPr>
                <w:rFonts w:hint="eastAsia" w:ascii="宋体" w:hAnsi="宋体"/>
                <w:bCs/>
                <w:snapToGrid w:val="0"/>
                <w:kern w:val="0"/>
                <w:sz w:val="24"/>
                <w:highlight w:val="none"/>
                <w:lang w:val="en-US" w:eastAsia="zh-CN"/>
              </w:rPr>
              <w:t>1</w:t>
            </w:r>
          </w:p>
        </w:tc>
        <w:tc>
          <w:tcPr>
            <w:tcW w:w="643" w:type="pct"/>
            <w:tcBorders>
              <w:top w:val="single" w:color="auto" w:sz="4" w:space="0"/>
            </w:tcBorders>
            <w:vAlign w:val="center"/>
          </w:tcPr>
          <w:p w14:paraId="20294097">
            <w:pPr>
              <w:adjustRightInd w:val="0"/>
              <w:snapToGrid w:val="0"/>
              <w:spacing w:line="360" w:lineRule="auto"/>
              <w:jc w:val="center"/>
              <w:rPr>
                <w:rFonts w:hint="eastAsia" w:ascii="宋体" w:hAnsi="宋体" w:eastAsia="宋体"/>
                <w:bCs/>
                <w:snapToGrid w:val="0"/>
                <w:kern w:val="0"/>
                <w:sz w:val="24"/>
                <w:highlight w:val="none"/>
                <w:lang w:val="en-US" w:eastAsia="zh-CN"/>
              </w:rPr>
            </w:pPr>
            <w:r>
              <w:rPr>
                <w:rFonts w:hint="eastAsia" w:ascii="宋体" w:hAnsi="宋体"/>
                <w:bCs/>
                <w:snapToGrid w:val="0"/>
                <w:kern w:val="0"/>
                <w:sz w:val="24"/>
                <w:highlight w:val="none"/>
                <w:lang w:val="en-US" w:eastAsia="zh-CN"/>
              </w:rPr>
              <w:t>/</w:t>
            </w:r>
          </w:p>
        </w:tc>
        <w:tc>
          <w:tcPr>
            <w:tcW w:w="533" w:type="pct"/>
            <w:tcBorders>
              <w:top w:val="single" w:color="auto" w:sz="4" w:space="0"/>
            </w:tcBorders>
            <w:vAlign w:val="center"/>
          </w:tcPr>
          <w:p w14:paraId="610820F9">
            <w:pPr>
              <w:adjustRightInd w:val="0"/>
              <w:snapToGrid w:val="0"/>
              <w:spacing w:line="360" w:lineRule="auto"/>
              <w:jc w:val="center"/>
              <w:rPr>
                <w:rFonts w:hint="eastAsia" w:ascii="宋体" w:hAnsi="宋体" w:eastAsia="宋体"/>
                <w:bCs/>
                <w:snapToGrid w:val="0"/>
                <w:kern w:val="0"/>
                <w:sz w:val="24"/>
                <w:highlight w:val="none"/>
                <w:lang w:val="en-US" w:eastAsia="zh-CN"/>
              </w:rPr>
            </w:pPr>
            <w:r>
              <w:rPr>
                <w:rFonts w:hint="eastAsia" w:ascii="宋体" w:hAnsi="宋体"/>
                <w:bCs/>
                <w:snapToGrid w:val="0"/>
                <w:kern w:val="0"/>
                <w:sz w:val="24"/>
                <w:highlight w:val="none"/>
                <w:lang w:val="en-US" w:eastAsia="zh-CN"/>
              </w:rPr>
              <w:t>项</w:t>
            </w:r>
          </w:p>
        </w:tc>
        <w:tc>
          <w:tcPr>
            <w:tcW w:w="950" w:type="pct"/>
            <w:tcBorders>
              <w:top w:val="single" w:color="auto" w:sz="4" w:space="0"/>
            </w:tcBorders>
            <w:vAlign w:val="center"/>
          </w:tcPr>
          <w:p w14:paraId="57506F2A">
            <w:pPr>
              <w:adjustRightInd w:val="0"/>
              <w:snapToGrid w:val="0"/>
              <w:spacing w:line="360" w:lineRule="auto"/>
              <w:jc w:val="center"/>
              <w:rPr>
                <w:rFonts w:hint="default" w:ascii="宋体" w:hAnsi="宋体"/>
                <w:bCs/>
                <w:snapToGrid w:val="0"/>
                <w:kern w:val="0"/>
                <w:sz w:val="24"/>
                <w:highlight w:val="none"/>
                <w:lang w:val="en-US"/>
              </w:rPr>
            </w:pPr>
          </w:p>
        </w:tc>
        <w:tc>
          <w:tcPr>
            <w:tcW w:w="853" w:type="pct"/>
            <w:tcBorders>
              <w:top w:val="single" w:color="auto" w:sz="4" w:space="0"/>
            </w:tcBorders>
            <w:vAlign w:val="center"/>
          </w:tcPr>
          <w:p w14:paraId="138C849C">
            <w:pPr>
              <w:adjustRightInd w:val="0"/>
              <w:snapToGrid w:val="0"/>
              <w:spacing w:line="360" w:lineRule="auto"/>
              <w:jc w:val="center"/>
              <w:rPr>
                <w:rFonts w:hint="default" w:ascii="宋体" w:hAnsi="宋体" w:eastAsia="宋体"/>
                <w:bCs/>
                <w:snapToGrid w:val="0"/>
                <w:kern w:val="0"/>
                <w:sz w:val="24"/>
                <w:highlight w:val="none"/>
                <w:lang w:val="en-US" w:eastAsia="zh-CN"/>
              </w:rPr>
            </w:pPr>
            <w:r>
              <w:rPr>
                <w:rFonts w:hint="eastAsia" w:ascii="宋体" w:hAnsi="宋体"/>
                <w:bCs/>
                <w:snapToGrid w:val="0"/>
                <w:kern w:val="0"/>
                <w:sz w:val="24"/>
                <w:highlight w:val="none"/>
                <w:lang w:val="en-US" w:eastAsia="zh-CN"/>
              </w:rPr>
              <w:t>总预算不超过49000元</w:t>
            </w:r>
          </w:p>
        </w:tc>
      </w:tr>
      <w:tr w14:paraId="105317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67" w:type="pct"/>
            <w:gridSpan w:val="2"/>
            <w:tcBorders>
              <w:top w:val="single" w:color="auto" w:sz="4" w:space="0"/>
              <w:bottom w:val="single" w:color="auto" w:sz="4" w:space="0"/>
            </w:tcBorders>
            <w:shd w:val="clear" w:color="auto" w:fill="FFFFFF"/>
            <w:vAlign w:val="center"/>
          </w:tcPr>
          <w:p w14:paraId="6161E1F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总价</w:t>
            </w:r>
          </w:p>
        </w:tc>
        <w:tc>
          <w:tcPr>
            <w:tcW w:w="552" w:type="pct"/>
            <w:tcBorders>
              <w:top w:val="single" w:color="auto" w:sz="4" w:space="0"/>
              <w:bottom w:val="single" w:color="auto" w:sz="4" w:space="0"/>
            </w:tcBorders>
            <w:vAlign w:val="center"/>
          </w:tcPr>
          <w:p w14:paraId="1299D953">
            <w:pPr>
              <w:adjustRightInd w:val="0"/>
              <w:snapToGrid w:val="0"/>
              <w:spacing w:line="360" w:lineRule="auto"/>
              <w:jc w:val="center"/>
              <w:rPr>
                <w:rFonts w:ascii="宋体" w:hAnsi="宋体"/>
                <w:bCs/>
                <w:snapToGrid w:val="0"/>
                <w:kern w:val="0"/>
                <w:sz w:val="24"/>
              </w:rPr>
            </w:pPr>
          </w:p>
        </w:tc>
        <w:tc>
          <w:tcPr>
            <w:tcW w:w="2980" w:type="pct"/>
            <w:gridSpan w:val="4"/>
            <w:tcBorders>
              <w:top w:val="single" w:color="auto" w:sz="4" w:space="0"/>
              <w:bottom w:val="single" w:color="auto" w:sz="4" w:space="0"/>
            </w:tcBorders>
            <w:vAlign w:val="center"/>
          </w:tcPr>
          <w:p w14:paraId="156D2E42">
            <w:pPr>
              <w:adjustRightInd w:val="0"/>
              <w:snapToGrid w:val="0"/>
              <w:spacing w:line="360" w:lineRule="auto"/>
              <w:jc w:val="center"/>
              <w:rPr>
                <w:rFonts w:hint="default" w:ascii="宋体" w:hAnsi="宋体"/>
                <w:bCs/>
                <w:snapToGrid w:val="0"/>
                <w:kern w:val="0"/>
                <w:sz w:val="24"/>
                <w:lang w:val="en-US"/>
              </w:rPr>
            </w:pPr>
          </w:p>
        </w:tc>
      </w:tr>
      <w:tr w14:paraId="690A26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67" w:type="pct"/>
            <w:gridSpan w:val="2"/>
            <w:tcBorders>
              <w:top w:val="single" w:color="auto" w:sz="4" w:space="0"/>
              <w:bottom w:val="double" w:color="auto" w:sz="4" w:space="0"/>
            </w:tcBorders>
            <w:shd w:val="clear" w:color="auto" w:fill="FFFFFF"/>
            <w:vAlign w:val="center"/>
          </w:tcPr>
          <w:p w14:paraId="3DAD62A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552" w:type="pct"/>
            <w:tcBorders>
              <w:top w:val="single" w:color="auto" w:sz="4" w:space="0"/>
              <w:bottom w:val="double" w:color="auto" w:sz="4" w:space="0"/>
            </w:tcBorders>
            <w:vAlign w:val="center"/>
          </w:tcPr>
          <w:p w14:paraId="77892B23">
            <w:pPr>
              <w:adjustRightInd w:val="0"/>
              <w:snapToGrid w:val="0"/>
              <w:spacing w:line="360" w:lineRule="auto"/>
              <w:jc w:val="center"/>
              <w:rPr>
                <w:rFonts w:hint="eastAsia" w:ascii="宋体" w:hAnsi="宋体"/>
                <w:bCs/>
                <w:snapToGrid w:val="0"/>
                <w:kern w:val="0"/>
                <w:sz w:val="24"/>
                <w:highlight w:val="cyan"/>
              </w:rPr>
            </w:pPr>
          </w:p>
        </w:tc>
        <w:tc>
          <w:tcPr>
            <w:tcW w:w="2980" w:type="pct"/>
            <w:gridSpan w:val="4"/>
            <w:tcBorders>
              <w:top w:val="single" w:color="auto" w:sz="4" w:space="0"/>
              <w:bottom w:val="double" w:color="auto" w:sz="4" w:space="0"/>
            </w:tcBorders>
            <w:vAlign w:val="center"/>
          </w:tcPr>
          <w:p w14:paraId="4295C823">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lang w:val="en-US" w:eastAsia="zh-CN"/>
              </w:rPr>
              <w:t>X</w:t>
            </w:r>
            <w:r>
              <w:rPr>
                <w:rFonts w:hint="eastAsia" w:ascii="宋体" w:hAnsi="宋体"/>
                <w:bCs/>
                <w:snapToGrid w:val="0"/>
                <w:kern w:val="0"/>
                <w:sz w:val="24"/>
                <w:highlight w:val="cyan"/>
              </w:rPr>
              <w:t>日历天内有效</w:t>
            </w:r>
          </w:p>
        </w:tc>
      </w:tr>
    </w:tbl>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根据项目需求进行报价，报价表可进行修改（可删）</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1D81AB38">
      <w:pPr>
        <w:numPr>
          <w:ilvl w:val="0"/>
          <w:numId w:val="2"/>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供应商可根据项目具体情况对各分项内容进行调整；</w:t>
      </w:r>
    </w:p>
    <w:p w14:paraId="0CF07B36">
      <w:pPr>
        <w:numPr>
          <w:ilvl w:val="0"/>
          <w:numId w:val="2"/>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供应商需根据项目需求进行报价；</w:t>
      </w:r>
    </w:p>
    <w:p w14:paraId="146E0AF5">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3、报价的货币单位为人民币元，总价应为以上各分项价格之和；</w:t>
      </w:r>
    </w:p>
    <w:p w14:paraId="6ED98948">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4、如有增值服务可填写在备注栏；</w:t>
      </w:r>
    </w:p>
    <w:p w14:paraId="2DF41E47">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rPr>
        <w:t>综合报价，包含完成本项目所需的全部费用（除非另有规定，深圳市南山区医疗集团总部无须向供应商另外支付本项目报价之外的任何费用）。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126C4986">
      <w:pPr>
        <w:adjustRightInd w:val="0"/>
        <w:snapToGrid w:val="0"/>
        <w:spacing w:line="360" w:lineRule="auto"/>
        <w:ind w:firstLine="480"/>
        <w:jc w:val="right"/>
        <w:rPr>
          <w:rFonts w:ascii="宋体" w:hAnsi="宋体"/>
          <w:bCs/>
          <w:snapToGrid w:val="0"/>
          <w:color w:val="FF0000"/>
          <w:kern w:val="0"/>
          <w:sz w:val="24"/>
        </w:rPr>
      </w:pPr>
      <w:r>
        <w:rPr>
          <w:rFonts w:hint="eastAsia" w:ascii="宋体" w:hAnsi="宋体"/>
          <w:bCs/>
          <w:snapToGrid w:val="0"/>
          <w:color w:val="FF0000"/>
          <w:kern w:val="0"/>
          <w:sz w:val="24"/>
        </w:rPr>
        <w:t>年  月  日</w:t>
      </w:r>
    </w:p>
    <w:p w14:paraId="479CF3D6">
      <w:pPr>
        <w:adjustRightInd w:val="0"/>
        <w:snapToGrid w:val="0"/>
        <w:spacing w:line="360" w:lineRule="auto"/>
        <w:ind w:firstLine="480"/>
        <w:rPr>
          <w:rFonts w:ascii="宋体" w:hAnsi="宋体"/>
          <w:bCs/>
          <w:snapToGrid w:val="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B8FB38-4CA8-4ED9-BCFA-7116D22D898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Arial Unicode MS"/>
    <w:panose1 w:val="00000000000000000000"/>
    <w:charset w:val="00"/>
    <w:family w:val="roman"/>
    <w:pitch w:val="default"/>
    <w:sig w:usb0="00000000" w:usb1="00000000" w:usb2="00000000" w:usb3="00000000" w:csb0="00040001" w:csb1="00000000"/>
  </w:font>
  <w:font w:name="创艺繁线体">
    <w:altName w:val="宋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BB4186B1-1FB0-4F67-BC0A-879395993E34}"/>
  </w:font>
  <w:font w:name="方正仿宋_GB2312">
    <w:panose1 w:val="02000000000000000000"/>
    <w:charset w:val="86"/>
    <w:family w:val="auto"/>
    <w:pitch w:val="default"/>
    <w:sig w:usb0="A00002BF" w:usb1="184F6CFA" w:usb2="00000012" w:usb3="00000000" w:csb0="00040001" w:csb1="00000000"/>
    <w:embedRegular r:id="rId3" w:fontKey="{FE1C20AB-8F89-44C3-BC6C-BA472B4D6D2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4"/>
      <w:jc w:val="center"/>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w:r>
  </w:p>
  <w:p w14:paraId="2D21B996">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4E0FF28B">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5"/>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A8FE00"/>
    <w:multiLevelType w:val="singleLevel"/>
    <w:tmpl w:val="E8A8FE00"/>
    <w:lvl w:ilvl="0" w:tentative="0">
      <w:start w:val="1"/>
      <w:numFmt w:val="decimal"/>
      <w:suff w:val="nothing"/>
      <w:lvlText w:val="%1、"/>
      <w:lvlJc w:val="left"/>
    </w:lvl>
  </w:abstractNum>
  <w:abstractNum w:abstractNumId="1">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3EE4A9C"/>
    <w:rsid w:val="04E71358"/>
    <w:rsid w:val="05C70D93"/>
    <w:rsid w:val="072347D7"/>
    <w:rsid w:val="08BC337C"/>
    <w:rsid w:val="092C38DF"/>
    <w:rsid w:val="09EE200C"/>
    <w:rsid w:val="0A014C73"/>
    <w:rsid w:val="0D280723"/>
    <w:rsid w:val="0E463E2A"/>
    <w:rsid w:val="0E5F3BFC"/>
    <w:rsid w:val="1152407D"/>
    <w:rsid w:val="1181541B"/>
    <w:rsid w:val="122C190A"/>
    <w:rsid w:val="1452414A"/>
    <w:rsid w:val="154B4D60"/>
    <w:rsid w:val="15B007D7"/>
    <w:rsid w:val="160F0030"/>
    <w:rsid w:val="16443B86"/>
    <w:rsid w:val="167B7613"/>
    <w:rsid w:val="17F5757F"/>
    <w:rsid w:val="18D90AC3"/>
    <w:rsid w:val="1ACC0F02"/>
    <w:rsid w:val="1ACE017F"/>
    <w:rsid w:val="1C887A8F"/>
    <w:rsid w:val="1F081154"/>
    <w:rsid w:val="2095729A"/>
    <w:rsid w:val="21020A84"/>
    <w:rsid w:val="231F674B"/>
    <w:rsid w:val="239863D1"/>
    <w:rsid w:val="25254A0D"/>
    <w:rsid w:val="25EF3DCB"/>
    <w:rsid w:val="275E5359"/>
    <w:rsid w:val="27AA4F43"/>
    <w:rsid w:val="27D41703"/>
    <w:rsid w:val="29EF1806"/>
    <w:rsid w:val="2A550045"/>
    <w:rsid w:val="2CAC309F"/>
    <w:rsid w:val="2CB86ABE"/>
    <w:rsid w:val="2D936DA1"/>
    <w:rsid w:val="2DDB2C88"/>
    <w:rsid w:val="2E9D5624"/>
    <w:rsid w:val="2FB06326"/>
    <w:rsid w:val="317D4289"/>
    <w:rsid w:val="31D7251E"/>
    <w:rsid w:val="31DC208A"/>
    <w:rsid w:val="33CE5DC2"/>
    <w:rsid w:val="344B7F15"/>
    <w:rsid w:val="345C3DCA"/>
    <w:rsid w:val="351C5DCB"/>
    <w:rsid w:val="355251D2"/>
    <w:rsid w:val="38E97BDC"/>
    <w:rsid w:val="392678C4"/>
    <w:rsid w:val="3A127140"/>
    <w:rsid w:val="3E911746"/>
    <w:rsid w:val="3F563A81"/>
    <w:rsid w:val="3FE25B2D"/>
    <w:rsid w:val="42303267"/>
    <w:rsid w:val="42A25E5F"/>
    <w:rsid w:val="42F611BB"/>
    <w:rsid w:val="43234C07"/>
    <w:rsid w:val="44000DE5"/>
    <w:rsid w:val="456914A4"/>
    <w:rsid w:val="45D4532C"/>
    <w:rsid w:val="45E74EF6"/>
    <w:rsid w:val="46EE566A"/>
    <w:rsid w:val="47AE1D32"/>
    <w:rsid w:val="47FD66C6"/>
    <w:rsid w:val="486D394D"/>
    <w:rsid w:val="48FC114A"/>
    <w:rsid w:val="4A2F6F19"/>
    <w:rsid w:val="4DAC0334"/>
    <w:rsid w:val="5175428D"/>
    <w:rsid w:val="53C4433B"/>
    <w:rsid w:val="545C11F4"/>
    <w:rsid w:val="557C330C"/>
    <w:rsid w:val="59B23993"/>
    <w:rsid w:val="59F45752"/>
    <w:rsid w:val="5A807519"/>
    <w:rsid w:val="5C0E4267"/>
    <w:rsid w:val="5C2710F9"/>
    <w:rsid w:val="5DD46678"/>
    <w:rsid w:val="5E317FAE"/>
    <w:rsid w:val="5E711D46"/>
    <w:rsid w:val="5EDB6B4A"/>
    <w:rsid w:val="5FBE533C"/>
    <w:rsid w:val="615E6687"/>
    <w:rsid w:val="616421C6"/>
    <w:rsid w:val="61D104EA"/>
    <w:rsid w:val="62CF609E"/>
    <w:rsid w:val="643E547F"/>
    <w:rsid w:val="64E7316B"/>
    <w:rsid w:val="66800C07"/>
    <w:rsid w:val="67AC2763"/>
    <w:rsid w:val="68F67A18"/>
    <w:rsid w:val="68F93B6B"/>
    <w:rsid w:val="69FA35A8"/>
    <w:rsid w:val="6A995FA5"/>
    <w:rsid w:val="6AA51683"/>
    <w:rsid w:val="6D8E6A2F"/>
    <w:rsid w:val="6EAF4CEB"/>
    <w:rsid w:val="6ED628CC"/>
    <w:rsid w:val="6EE83F45"/>
    <w:rsid w:val="6F371D0A"/>
    <w:rsid w:val="704E2D79"/>
    <w:rsid w:val="76B06742"/>
    <w:rsid w:val="78CA44FB"/>
    <w:rsid w:val="7AFCDDF8"/>
    <w:rsid w:val="7B624359"/>
    <w:rsid w:val="7B790B19"/>
    <w:rsid w:val="7E3876A2"/>
    <w:rsid w:val="7F77B8EF"/>
    <w:rsid w:val="CFFFD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54"/>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46"/>
    <w:qFormat/>
    <w:uiPriority w:val="9"/>
    <w:pPr>
      <w:keepNext/>
      <w:keepLines/>
      <w:spacing w:before="260" w:after="260" w:line="416" w:lineRule="auto"/>
      <w:outlineLvl w:val="2"/>
    </w:pPr>
    <w:rPr>
      <w:b/>
      <w:bCs/>
      <w:sz w:val="32"/>
      <w:szCs w:val="32"/>
    </w:rPr>
  </w:style>
  <w:style w:type="paragraph" w:styleId="5">
    <w:name w:val="heading 4"/>
    <w:basedOn w:val="1"/>
    <w:next w:val="1"/>
    <w:link w:val="56"/>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72"/>
    <w:qFormat/>
    <w:uiPriority w:val="0"/>
    <w:pPr>
      <w:keepNext/>
      <w:keepLines/>
      <w:spacing w:before="280" w:after="290" w:line="376" w:lineRule="auto"/>
      <w:outlineLvl w:val="4"/>
    </w:pPr>
    <w:rPr>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semiHidden/>
    <w:qFormat/>
    <w:uiPriority w:val="0"/>
    <w:pPr>
      <w:ind w:left="2520" w:leftChars="1200"/>
    </w:pPr>
  </w:style>
  <w:style w:type="paragraph" w:styleId="8">
    <w:name w:val="List Bullet 4"/>
    <w:basedOn w:val="1"/>
    <w:qFormat/>
    <w:uiPriority w:val="0"/>
    <w:pPr>
      <w:tabs>
        <w:tab w:val="left" w:pos="1620"/>
      </w:tabs>
    </w:pPr>
    <w:rPr>
      <w:szCs w:val="20"/>
    </w:rPr>
  </w:style>
  <w:style w:type="paragraph" w:styleId="9">
    <w:name w:val="Normal Indent"/>
    <w:basedOn w:val="1"/>
    <w:link w:val="57"/>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qFormat/>
    <w:uiPriority w:val="0"/>
    <w:pPr>
      <w:tabs>
        <w:tab w:val="left" w:pos="360"/>
      </w:tabs>
      <w:ind w:left="360"/>
    </w:pPr>
    <w:rPr>
      <w:szCs w:val="20"/>
    </w:rPr>
  </w:style>
  <w:style w:type="paragraph" w:styleId="11">
    <w:name w:val="Document Map"/>
    <w:basedOn w:val="1"/>
    <w:link w:val="45"/>
    <w:qFormat/>
    <w:uiPriority w:val="0"/>
    <w:pPr>
      <w:shd w:val="clear" w:color="auto" w:fill="000080"/>
    </w:pPr>
  </w:style>
  <w:style w:type="paragraph" w:styleId="12">
    <w:name w:val="annotation text"/>
    <w:basedOn w:val="1"/>
    <w:link w:val="68"/>
    <w:qFormat/>
    <w:uiPriority w:val="99"/>
    <w:pPr>
      <w:jc w:val="left"/>
    </w:pPr>
  </w:style>
  <w:style w:type="paragraph" w:styleId="13">
    <w:name w:val="Body Text 3"/>
    <w:basedOn w:val="1"/>
    <w:link w:val="67"/>
    <w:qFormat/>
    <w:uiPriority w:val="0"/>
    <w:pPr>
      <w:spacing w:after="120"/>
    </w:pPr>
    <w:rPr>
      <w:sz w:val="16"/>
      <w:szCs w:val="16"/>
    </w:rPr>
  </w:style>
  <w:style w:type="paragraph" w:styleId="14">
    <w:name w:val="Body Text"/>
    <w:basedOn w:val="1"/>
    <w:next w:val="1"/>
    <w:link w:val="52"/>
    <w:qFormat/>
    <w:uiPriority w:val="0"/>
    <w:rPr>
      <w:rFonts w:ascii="宋体" w:hAnsi="宋体"/>
      <w:b/>
      <w:szCs w:val="28"/>
    </w:rPr>
  </w:style>
  <w:style w:type="paragraph" w:styleId="15">
    <w:name w:val="Body Text Indent"/>
    <w:basedOn w:val="1"/>
    <w:qFormat/>
    <w:uiPriority w:val="0"/>
    <w:pPr>
      <w:ind w:firstLine="540"/>
    </w:pPr>
    <w:rPr>
      <w:sz w:val="28"/>
      <w:szCs w:val="20"/>
    </w:rPr>
  </w:style>
  <w:style w:type="paragraph" w:styleId="16">
    <w:name w:val="List Bullet 2"/>
    <w:basedOn w:val="1"/>
    <w:qFormat/>
    <w:uiPriority w:val="0"/>
    <w:pPr>
      <w:tabs>
        <w:tab w:val="left" w:pos="780"/>
      </w:tabs>
    </w:pPr>
    <w:rPr>
      <w:szCs w:val="20"/>
    </w:rPr>
  </w:style>
  <w:style w:type="paragraph" w:styleId="17">
    <w:name w:val="toc 5"/>
    <w:basedOn w:val="1"/>
    <w:next w:val="1"/>
    <w:semiHidden/>
    <w:qFormat/>
    <w:uiPriority w:val="0"/>
    <w:pPr>
      <w:ind w:left="1680" w:leftChars="800"/>
    </w:pPr>
  </w:style>
  <w:style w:type="paragraph" w:styleId="18">
    <w:name w:val="toc 3"/>
    <w:basedOn w:val="1"/>
    <w:next w:val="1"/>
    <w:semiHidden/>
    <w:qFormat/>
    <w:uiPriority w:val="0"/>
    <w:pPr>
      <w:ind w:left="840" w:leftChars="400"/>
    </w:pPr>
  </w:style>
  <w:style w:type="paragraph" w:styleId="19">
    <w:name w:val="Plain Text"/>
    <w:basedOn w:val="1"/>
    <w:link w:val="65"/>
    <w:qFormat/>
    <w:uiPriority w:val="0"/>
    <w:rPr>
      <w:rFonts w:ascii="宋体" w:hAnsi="Courier New"/>
      <w:szCs w:val="20"/>
    </w:rPr>
  </w:style>
  <w:style w:type="paragraph" w:styleId="20">
    <w:name w:val="toc 8"/>
    <w:basedOn w:val="1"/>
    <w:next w:val="1"/>
    <w:semiHidden/>
    <w:qFormat/>
    <w:uiPriority w:val="0"/>
    <w:pPr>
      <w:ind w:left="2940" w:leftChars="1400"/>
    </w:pPr>
  </w:style>
  <w:style w:type="paragraph" w:styleId="21">
    <w:name w:val="Date"/>
    <w:basedOn w:val="1"/>
    <w:next w:val="1"/>
    <w:qFormat/>
    <w:uiPriority w:val="0"/>
    <w:rPr>
      <w:rFonts w:ascii="宋体" w:hAnsi="Courier New"/>
      <w:sz w:val="32"/>
      <w:szCs w:val="20"/>
    </w:rPr>
  </w:style>
  <w:style w:type="paragraph" w:styleId="22">
    <w:name w:val="Body Text Indent 2"/>
    <w:basedOn w:val="1"/>
    <w:qFormat/>
    <w:uiPriority w:val="0"/>
    <w:pPr>
      <w:adjustRightInd w:val="0"/>
      <w:snapToGrid w:val="0"/>
      <w:spacing w:line="300" w:lineRule="auto"/>
      <w:ind w:firstLine="630" w:firstLineChars="300"/>
    </w:pPr>
    <w:rPr>
      <w:snapToGrid w:val="0"/>
      <w:kern w:val="0"/>
    </w:rPr>
  </w:style>
  <w:style w:type="paragraph" w:styleId="23">
    <w:name w:val="Balloon Text"/>
    <w:basedOn w:val="1"/>
    <w:link w:val="71"/>
    <w:semiHidden/>
    <w:qFormat/>
    <w:uiPriority w:val="99"/>
    <w:rPr>
      <w:sz w:val="18"/>
      <w:szCs w:val="18"/>
    </w:rPr>
  </w:style>
  <w:style w:type="paragraph" w:styleId="24">
    <w:name w:val="footer"/>
    <w:basedOn w:val="1"/>
    <w:link w:val="62"/>
    <w:qFormat/>
    <w:uiPriority w:val="99"/>
    <w:pPr>
      <w:tabs>
        <w:tab w:val="center" w:pos="4153"/>
        <w:tab w:val="right" w:pos="8306"/>
      </w:tabs>
      <w:snapToGrid w:val="0"/>
      <w:jc w:val="left"/>
    </w:pPr>
    <w:rPr>
      <w:sz w:val="18"/>
      <w:szCs w:val="20"/>
    </w:rPr>
  </w:style>
  <w:style w:type="paragraph" w:styleId="25">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semiHidden/>
    <w:qFormat/>
    <w:uiPriority w:val="0"/>
  </w:style>
  <w:style w:type="paragraph" w:styleId="27">
    <w:name w:val="toc 4"/>
    <w:basedOn w:val="1"/>
    <w:next w:val="1"/>
    <w:semiHidden/>
    <w:qFormat/>
    <w:uiPriority w:val="0"/>
    <w:pPr>
      <w:ind w:left="1260" w:leftChars="600"/>
    </w:pPr>
  </w:style>
  <w:style w:type="paragraph" w:styleId="28">
    <w:name w:val="toc 6"/>
    <w:basedOn w:val="1"/>
    <w:next w:val="1"/>
    <w:semiHidden/>
    <w:qFormat/>
    <w:uiPriority w:val="0"/>
    <w:pPr>
      <w:ind w:left="2100" w:leftChars="1000"/>
    </w:pPr>
  </w:style>
  <w:style w:type="paragraph" w:styleId="29">
    <w:name w:val="Body Text Indent 3"/>
    <w:basedOn w:val="1"/>
    <w:qFormat/>
    <w:uiPriority w:val="0"/>
    <w:pPr>
      <w:adjustRightInd w:val="0"/>
      <w:snapToGrid w:val="0"/>
      <w:spacing w:line="300" w:lineRule="auto"/>
      <w:ind w:firstLine="420" w:firstLineChars="200"/>
    </w:pPr>
    <w:rPr>
      <w:rFonts w:ascii="宋体"/>
    </w:rPr>
  </w:style>
  <w:style w:type="paragraph" w:styleId="30">
    <w:name w:val="toc 2"/>
    <w:basedOn w:val="1"/>
    <w:next w:val="1"/>
    <w:semiHidden/>
    <w:qFormat/>
    <w:uiPriority w:val="0"/>
    <w:pPr>
      <w:ind w:left="420" w:leftChars="200"/>
    </w:pPr>
  </w:style>
  <w:style w:type="paragraph" w:styleId="31">
    <w:name w:val="toc 9"/>
    <w:basedOn w:val="1"/>
    <w:next w:val="1"/>
    <w:semiHidden/>
    <w:qFormat/>
    <w:uiPriority w:val="0"/>
    <w:pPr>
      <w:ind w:left="3360" w:leftChars="1600"/>
    </w:pPr>
  </w:style>
  <w:style w:type="paragraph" w:styleId="32">
    <w:name w:val="Body Text 2"/>
    <w:basedOn w:val="1"/>
    <w:qFormat/>
    <w:uiPriority w:val="0"/>
    <w:pPr>
      <w:spacing w:after="120" w:line="480" w:lineRule="auto"/>
    </w:pPr>
  </w:style>
  <w:style w:type="paragraph" w:styleId="33">
    <w:name w:val="HTML Preformatted"/>
    <w:basedOn w:val="1"/>
    <w:link w:val="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2"/>
    <w:next w:val="12"/>
    <w:link w:val="58"/>
    <w:qFormat/>
    <w:uiPriority w:val="99"/>
    <w:rPr>
      <w:b/>
      <w:bCs/>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Strong"/>
    <w:qFormat/>
    <w:uiPriority w:val="0"/>
    <w:rPr>
      <w:b/>
    </w:rPr>
  </w:style>
  <w:style w:type="character" w:styleId="40">
    <w:name w:val="page number"/>
    <w:basedOn w:val="38"/>
    <w:qFormat/>
    <w:uiPriority w:val="0"/>
  </w:style>
  <w:style w:type="character" w:styleId="41">
    <w:name w:val="FollowedHyperlink"/>
    <w:qFormat/>
    <w:uiPriority w:val="0"/>
    <w:rPr>
      <w:color w:val="800080"/>
      <w:u w:val="single"/>
    </w:rPr>
  </w:style>
  <w:style w:type="character" w:styleId="42">
    <w:name w:val="Hyperlink"/>
    <w:qFormat/>
    <w:uiPriority w:val="0"/>
    <w:rPr>
      <w:color w:val="0000FF"/>
      <w:u w:val="single"/>
    </w:rPr>
  </w:style>
  <w:style w:type="character" w:styleId="43">
    <w:name w:val="annotation reference"/>
    <w:qFormat/>
    <w:uiPriority w:val="99"/>
    <w:rPr>
      <w:sz w:val="21"/>
      <w:szCs w:val="21"/>
    </w:rPr>
  </w:style>
  <w:style w:type="paragraph" w:customStyle="1" w:styleId="44">
    <w:name w:val="表格文字"/>
    <w:basedOn w:val="1"/>
    <w:next w:val="1"/>
    <w:qFormat/>
    <w:uiPriority w:val="0"/>
    <w:pPr>
      <w:spacing w:before="25" w:after="25"/>
      <w:jc w:val="left"/>
    </w:pPr>
    <w:rPr>
      <w:bCs/>
      <w:spacing w:val="10"/>
      <w:kern w:val="0"/>
      <w:sz w:val="24"/>
      <w:szCs w:val="20"/>
    </w:rPr>
  </w:style>
  <w:style w:type="character" w:customStyle="1" w:styleId="45">
    <w:name w:val="文档结构图 Char"/>
    <w:link w:val="11"/>
    <w:qFormat/>
    <w:uiPriority w:val="0"/>
    <w:rPr>
      <w:kern w:val="2"/>
      <w:sz w:val="21"/>
      <w:szCs w:val="24"/>
      <w:shd w:val="clear" w:color="auto" w:fill="000080"/>
    </w:rPr>
  </w:style>
  <w:style w:type="character" w:customStyle="1" w:styleId="46">
    <w:name w:val="标题 3 Char"/>
    <w:link w:val="4"/>
    <w:qFormat/>
    <w:uiPriority w:val="9"/>
    <w:rPr>
      <w:b/>
      <w:bCs/>
      <w:kern w:val="2"/>
      <w:sz w:val="32"/>
      <w:szCs w:val="32"/>
    </w:rPr>
  </w:style>
  <w:style w:type="character" w:customStyle="1" w:styleId="47">
    <w:name w:val="ca-3"/>
    <w:basedOn w:val="38"/>
    <w:qFormat/>
    <w:uiPriority w:val="0"/>
  </w:style>
  <w:style w:type="character" w:customStyle="1" w:styleId="48">
    <w:name w:val="c lh15"/>
    <w:basedOn w:val="38"/>
    <w:qFormat/>
    <w:uiPriority w:val="0"/>
  </w:style>
  <w:style w:type="character" w:customStyle="1" w:styleId="49">
    <w:name w:val="ca-01"/>
    <w:qFormat/>
    <w:uiPriority w:val="0"/>
    <w:rPr>
      <w:rFonts w:ascii="宋体" w:hAnsi="宋体" w:eastAsia="宋体"/>
      <w:sz w:val="21"/>
    </w:rPr>
  </w:style>
  <w:style w:type="character" w:customStyle="1" w:styleId="50">
    <w:name w:val="HTML 预设格式 Char"/>
    <w:link w:val="33"/>
    <w:qFormat/>
    <w:uiPriority w:val="0"/>
    <w:rPr>
      <w:rFonts w:ascii="Arial Unicode MS" w:hAnsi="Arial Unicode MS" w:eastAsia="Arial Unicode MS" w:cs="Arial Unicode MS"/>
      <w:color w:val="000000"/>
    </w:rPr>
  </w:style>
  <w:style w:type="character" w:customStyle="1" w:styleId="51">
    <w:name w:val="页眉 Char"/>
    <w:link w:val="25"/>
    <w:qFormat/>
    <w:uiPriority w:val="99"/>
    <w:rPr>
      <w:kern w:val="2"/>
      <w:sz w:val="18"/>
      <w:szCs w:val="18"/>
    </w:rPr>
  </w:style>
  <w:style w:type="character" w:customStyle="1" w:styleId="52">
    <w:name w:val="正文文本 Char"/>
    <w:link w:val="14"/>
    <w:qFormat/>
    <w:uiPriority w:val="0"/>
    <w:rPr>
      <w:rFonts w:ascii="宋体" w:hAnsi="宋体"/>
      <w:b/>
      <w:kern w:val="2"/>
      <w:sz w:val="21"/>
      <w:szCs w:val="28"/>
    </w:rPr>
  </w:style>
  <w:style w:type="character" w:customStyle="1" w:styleId="53">
    <w:name w:val="Char Char2"/>
    <w:qFormat/>
    <w:uiPriority w:val="0"/>
    <w:rPr>
      <w:b/>
      <w:bCs/>
      <w:kern w:val="2"/>
      <w:sz w:val="32"/>
      <w:szCs w:val="32"/>
    </w:rPr>
  </w:style>
  <w:style w:type="character" w:customStyle="1" w:styleId="54">
    <w:name w:val="标题 2 Char"/>
    <w:link w:val="3"/>
    <w:qFormat/>
    <w:uiPriority w:val="0"/>
    <w:rPr>
      <w:rFonts w:ascii="Arial" w:hAnsi="Arial" w:eastAsia="宋体"/>
      <w:b/>
      <w:bCs/>
      <w:kern w:val="2"/>
      <w:sz w:val="32"/>
      <w:szCs w:val="32"/>
      <w:lang w:val="en-US" w:eastAsia="zh-CN" w:bidi="ar-SA"/>
    </w:rPr>
  </w:style>
  <w:style w:type="character" w:customStyle="1" w:styleId="55">
    <w:name w:val="content"/>
    <w:basedOn w:val="38"/>
    <w:qFormat/>
    <w:uiPriority w:val="0"/>
  </w:style>
  <w:style w:type="character" w:customStyle="1" w:styleId="56">
    <w:name w:val="标题 4 Char"/>
    <w:link w:val="5"/>
    <w:qFormat/>
    <w:uiPriority w:val="9"/>
    <w:rPr>
      <w:rFonts w:ascii="华文中宋" w:hAnsi="华文中宋" w:eastAsia="华文中宋"/>
      <w:b/>
      <w:bCs/>
      <w:kern w:val="2"/>
      <w:sz w:val="28"/>
    </w:rPr>
  </w:style>
  <w:style w:type="character" w:customStyle="1" w:styleId="57">
    <w:name w:val="正文缩进 Char"/>
    <w:link w:val="9"/>
    <w:qFormat/>
    <w:uiPriority w:val="0"/>
    <w:rPr>
      <w:sz w:val="24"/>
    </w:rPr>
  </w:style>
  <w:style w:type="character" w:customStyle="1" w:styleId="58">
    <w:name w:val="批注主题 Char"/>
    <w:link w:val="35"/>
    <w:qFormat/>
    <w:uiPriority w:val="99"/>
    <w:rPr>
      <w:b/>
      <w:bCs/>
      <w:kern w:val="2"/>
      <w:sz w:val="21"/>
      <w:szCs w:val="24"/>
    </w:rPr>
  </w:style>
  <w:style w:type="character" w:customStyle="1" w:styleId="59">
    <w:name w:val="标题 1 Char"/>
    <w:qFormat/>
    <w:uiPriority w:val="0"/>
    <w:rPr>
      <w:rFonts w:ascii="宋体" w:hAnsi="宋体" w:eastAsia="黑体"/>
      <w:b/>
      <w:bCs/>
      <w:kern w:val="44"/>
      <w:sz w:val="28"/>
      <w:szCs w:val="44"/>
      <w:lang w:val="en-US" w:eastAsia="zh-CN" w:bidi="ar-SA"/>
    </w:rPr>
  </w:style>
  <w:style w:type="character" w:customStyle="1" w:styleId="60">
    <w:name w:val="apple-style-span"/>
    <w:basedOn w:val="38"/>
    <w:qFormat/>
    <w:uiPriority w:val="0"/>
  </w:style>
  <w:style w:type="character" w:customStyle="1" w:styleId="61">
    <w:name w:val="textcontents1"/>
    <w:qFormat/>
    <w:uiPriority w:val="0"/>
    <w:rPr>
      <w:rFonts w:hint="default" w:ascii="ˎ̥" w:hAnsi="ˎ̥"/>
      <w:sz w:val="21"/>
      <w:szCs w:val="21"/>
    </w:rPr>
  </w:style>
  <w:style w:type="character" w:customStyle="1" w:styleId="62">
    <w:name w:val="页脚 Char"/>
    <w:link w:val="24"/>
    <w:qFormat/>
    <w:uiPriority w:val="99"/>
    <w:rPr>
      <w:rFonts w:eastAsia="宋体"/>
      <w:kern w:val="2"/>
      <w:sz w:val="18"/>
      <w:lang w:val="en-US" w:eastAsia="zh-CN" w:bidi="ar-SA"/>
    </w:rPr>
  </w:style>
  <w:style w:type="character" w:customStyle="1" w:styleId="63">
    <w:name w:val="正文首行缩进（绿盟科技） Char"/>
    <w:link w:val="64"/>
    <w:qFormat/>
    <w:uiPriority w:val="0"/>
    <w:rPr>
      <w:rFonts w:ascii="Arial" w:hAnsi="Arial"/>
      <w:szCs w:val="21"/>
    </w:rPr>
  </w:style>
  <w:style w:type="paragraph" w:customStyle="1" w:styleId="64">
    <w:name w:val="正文首行缩进（绿盟科技）"/>
    <w:basedOn w:val="1"/>
    <w:link w:val="63"/>
    <w:qFormat/>
    <w:uiPriority w:val="0"/>
    <w:pPr>
      <w:widowControl/>
      <w:spacing w:after="50" w:line="300" w:lineRule="auto"/>
      <w:ind w:firstLine="200" w:firstLineChars="200"/>
      <w:jc w:val="left"/>
    </w:pPr>
    <w:rPr>
      <w:rFonts w:ascii="Arial" w:hAnsi="Arial"/>
      <w:kern w:val="0"/>
      <w:sz w:val="20"/>
      <w:szCs w:val="21"/>
    </w:rPr>
  </w:style>
  <w:style w:type="character" w:customStyle="1" w:styleId="65">
    <w:name w:val="纯文本 Char"/>
    <w:link w:val="19"/>
    <w:qFormat/>
    <w:uiPriority w:val="0"/>
    <w:rPr>
      <w:rFonts w:ascii="宋体" w:hAnsi="Courier New"/>
      <w:kern w:val="2"/>
      <w:sz w:val="21"/>
    </w:rPr>
  </w:style>
  <w:style w:type="character" w:customStyle="1" w:styleId="66">
    <w:name w:val="text21"/>
    <w:basedOn w:val="38"/>
    <w:qFormat/>
    <w:uiPriority w:val="0"/>
  </w:style>
  <w:style w:type="character" w:customStyle="1" w:styleId="67">
    <w:name w:val="正文文本 3 Char"/>
    <w:link w:val="13"/>
    <w:qFormat/>
    <w:uiPriority w:val="0"/>
    <w:rPr>
      <w:kern w:val="2"/>
      <w:sz w:val="16"/>
      <w:szCs w:val="16"/>
    </w:rPr>
  </w:style>
  <w:style w:type="character" w:customStyle="1" w:styleId="68">
    <w:name w:val="批注文字 Char"/>
    <w:link w:val="12"/>
    <w:qFormat/>
    <w:uiPriority w:val="99"/>
    <w:rPr>
      <w:kern w:val="2"/>
      <w:sz w:val="21"/>
      <w:szCs w:val="24"/>
    </w:rPr>
  </w:style>
  <w:style w:type="character" w:customStyle="1" w:styleId="69">
    <w:name w:val="Char1"/>
    <w:link w:val="70"/>
    <w:qFormat/>
    <w:uiPriority w:val="0"/>
    <w:rPr>
      <w:snapToGrid w:val="0"/>
      <w:sz w:val="21"/>
      <w:szCs w:val="24"/>
    </w:rPr>
  </w:style>
  <w:style w:type="paragraph" w:customStyle="1" w:styleId="70">
    <w:name w:val="7"/>
    <w:basedOn w:val="1"/>
    <w:next w:val="22"/>
    <w:link w:val="69"/>
    <w:qFormat/>
    <w:uiPriority w:val="0"/>
    <w:pPr>
      <w:adjustRightInd w:val="0"/>
      <w:snapToGrid w:val="0"/>
      <w:spacing w:line="300" w:lineRule="auto"/>
      <w:ind w:firstLine="630" w:firstLineChars="300"/>
    </w:pPr>
    <w:rPr>
      <w:snapToGrid w:val="0"/>
      <w:kern w:val="0"/>
    </w:rPr>
  </w:style>
  <w:style w:type="character" w:customStyle="1" w:styleId="71">
    <w:name w:val="批注框文本 Char"/>
    <w:link w:val="23"/>
    <w:semiHidden/>
    <w:qFormat/>
    <w:uiPriority w:val="99"/>
    <w:rPr>
      <w:kern w:val="2"/>
      <w:sz w:val="18"/>
      <w:szCs w:val="18"/>
    </w:rPr>
  </w:style>
  <w:style w:type="character" w:customStyle="1" w:styleId="72">
    <w:name w:val="标题 5 Char"/>
    <w:link w:val="6"/>
    <w:semiHidden/>
    <w:qFormat/>
    <w:uiPriority w:val="0"/>
    <w:rPr>
      <w:b/>
      <w:bCs/>
      <w:kern w:val="2"/>
      <w:sz w:val="28"/>
      <w:szCs w:val="28"/>
    </w:rPr>
  </w:style>
  <w:style w:type="paragraph" w:customStyle="1" w:styleId="73">
    <w:name w:val="8"/>
    <w:basedOn w:val="1"/>
    <w:next w:val="19"/>
    <w:qFormat/>
    <w:uiPriority w:val="0"/>
    <w:rPr>
      <w:rFonts w:ascii="宋体" w:hAnsi="Courier New"/>
      <w:szCs w:val="20"/>
    </w:rPr>
  </w:style>
  <w:style w:type="paragraph" w:customStyle="1" w:styleId="74">
    <w:name w:val="_Style 141"/>
    <w:basedOn w:val="1"/>
    <w:next w:val="75"/>
    <w:qFormat/>
    <w:uiPriority w:val="99"/>
    <w:pPr>
      <w:ind w:left="720"/>
      <w:contextualSpacing/>
    </w:pPr>
    <w:rPr>
      <w:rFonts w:ascii="Calibri" w:hAnsi="Calibri"/>
    </w:rPr>
  </w:style>
  <w:style w:type="paragraph" w:styleId="75">
    <w:name w:val="List Paragraph"/>
    <w:basedOn w:val="1"/>
    <w:qFormat/>
    <w:uiPriority w:val="34"/>
    <w:pPr>
      <w:ind w:firstLine="420" w:firstLineChars="200"/>
    </w:pPr>
  </w:style>
  <w:style w:type="paragraph" w:customStyle="1" w:styleId="76">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7">
    <w:name w:val="_Style 55"/>
    <w:basedOn w:val="1"/>
    <w:next w:val="19"/>
    <w:qFormat/>
    <w:uiPriority w:val="0"/>
    <w:rPr>
      <w:rFonts w:ascii="宋体" w:hAnsi="Courier New"/>
      <w:szCs w:val="20"/>
    </w:rPr>
  </w:style>
  <w:style w:type="paragraph" w:customStyle="1" w:styleId="7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80">
    <w:name w:val="Char Char Char"/>
    <w:basedOn w:val="1"/>
    <w:qFormat/>
    <w:uiPriority w:val="0"/>
    <w:rPr>
      <w:szCs w:val="20"/>
    </w:rPr>
  </w:style>
  <w:style w:type="paragraph" w:customStyle="1" w:styleId="8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2">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3">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5">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6">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7">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9">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90">
    <w:name w:val="10"/>
    <w:basedOn w:val="1"/>
    <w:next w:val="22"/>
    <w:qFormat/>
    <w:uiPriority w:val="0"/>
    <w:pPr>
      <w:adjustRightInd w:val="0"/>
      <w:snapToGrid w:val="0"/>
      <w:spacing w:line="300" w:lineRule="auto"/>
      <w:ind w:firstLine="630" w:firstLineChars="300"/>
    </w:pPr>
    <w:rPr>
      <w:snapToGrid w:val="0"/>
      <w:kern w:val="0"/>
    </w:rPr>
  </w:style>
  <w:style w:type="paragraph" w:customStyle="1" w:styleId="91">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3">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4">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5">
    <w:name w:val="6"/>
    <w:basedOn w:val="1"/>
    <w:next w:val="19"/>
    <w:qFormat/>
    <w:uiPriority w:val="0"/>
    <w:rPr>
      <w:rFonts w:ascii="宋体" w:hAnsi="Courier New"/>
      <w:szCs w:val="20"/>
    </w:rPr>
  </w:style>
  <w:style w:type="paragraph" w:customStyle="1" w:styleId="9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7">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8">
    <w:name w:val="p0"/>
    <w:basedOn w:val="1"/>
    <w:qFormat/>
    <w:uiPriority w:val="0"/>
    <w:pPr>
      <w:widowControl/>
    </w:pPr>
    <w:rPr>
      <w:kern w:val="0"/>
      <w:szCs w:val="21"/>
    </w:rPr>
  </w:style>
  <w:style w:type="paragraph" w:customStyle="1" w:styleId="99">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100">
    <w:name w:val="List Paragraph1"/>
    <w:basedOn w:val="1"/>
    <w:qFormat/>
    <w:uiPriority w:val="99"/>
    <w:pPr>
      <w:ind w:firstLine="420" w:firstLineChars="200"/>
    </w:pPr>
    <w:rPr>
      <w:szCs w:val="20"/>
    </w:rPr>
  </w:style>
  <w:style w:type="paragraph" w:customStyle="1" w:styleId="101">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2">
    <w:name w:val="Char2 Char Char Char Char Char Char"/>
    <w:basedOn w:val="1"/>
    <w:qFormat/>
    <w:uiPriority w:val="0"/>
    <w:pPr>
      <w:widowControl/>
      <w:spacing w:after="160" w:line="240" w:lineRule="exact"/>
      <w:jc w:val="left"/>
    </w:pPr>
  </w:style>
  <w:style w:type="paragraph" w:customStyle="1" w:styleId="103">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4">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5">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6">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7">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9">
    <w:name w:val="Char"/>
    <w:basedOn w:val="1"/>
    <w:qFormat/>
    <w:uiPriority w:val="0"/>
    <w:rPr>
      <w:rFonts w:ascii="Tahoma" w:hAnsi="Tahoma"/>
      <w:sz w:val="24"/>
      <w:szCs w:val="20"/>
    </w:rPr>
  </w:style>
  <w:style w:type="paragraph" w:customStyle="1" w:styleId="110">
    <w:name w:val="列出段落1"/>
    <w:basedOn w:val="1"/>
    <w:qFormat/>
    <w:uiPriority w:val="34"/>
    <w:pPr>
      <w:ind w:firstLine="420" w:firstLineChars="200"/>
    </w:pPr>
  </w:style>
  <w:style w:type="paragraph" w:customStyle="1" w:styleId="111">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2">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3">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5">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6">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8">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9">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20">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1">
    <w:name w:val="Body 1"/>
    <w:qFormat/>
    <w:uiPriority w:val="0"/>
    <w:rPr>
      <w:rFonts w:ascii="宋体" w:hAnsi="宋体" w:eastAsia="宋体" w:cs="Times New Roman"/>
      <w:color w:val="000000"/>
      <w:sz w:val="24"/>
      <w:lang w:val="en-US" w:eastAsia="zh-CN" w:bidi="ar-SA"/>
    </w:rPr>
  </w:style>
  <w:style w:type="paragraph" w:customStyle="1" w:styleId="122">
    <w:name w:val="_Style 1"/>
    <w:basedOn w:val="1"/>
    <w:qFormat/>
    <w:uiPriority w:val="99"/>
    <w:pPr>
      <w:ind w:firstLine="420" w:firstLineChars="200"/>
    </w:pPr>
    <w:rPr>
      <w:rFonts w:ascii="Calibri" w:hAnsi="Calibri"/>
      <w:szCs w:val="22"/>
    </w:rPr>
  </w:style>
  <w:style w:type="paragraph" w:customStyle="1" w:styleId="123">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4">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5">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6">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7">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8">
    <w:name w:val="USE 1"/>
    <w:basedOn w:val="1"/>
    <w:qFormat/>
    <w:uiPriority w:val="0"/>
    <w:pPr>
      <w:spacing w:line="200" w:lineRule="atLeast"/>
      <w:jc w:val="left"/>
    </w:pPr>
    <w:rPr>
      <w:rFonts w:ascii="宋体" w:hAnsi="宋体"/>
      <w:b/>
      <w:sz w:val="24"/>
      <w:szCs w:val="28"/>
    </w:rPr>
  </w:style>
  <w:style w:type="paragraph" w:customStyle="1" w:styleId="129">
    <w:name w:val="9"/>
    <w:basedOn w:val="1"/>
    <w:next w:val="19"/>
    <w:qFormat/>
    <w:uiPriority w:val="0"/>
    <w:rPr>
      <w:rFonts w:ascii="宋体" w:hAnsi="Courier New"/>
      <w:szCs w:val="20"/>
    </w:rPr>
  </w:style>
  <w:style w:type="paragraph" w:customStyle="1" w:styleId="130">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1">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3">
    <w:name w:val="Char11"/>
    <w:basedOn w:val="1"/>
    <w:qFormat/>
    <w:uiPriority w:val="0"/>
    <w:pPr>
      <w:spacing w:line="240" w:lineRule="atLeast"/>
      <w:ind w:left="420" w:firstLine="420"/>
    </w:pPr>
    <w:rPr>
      <w:kern w:val="0"/>
      <w:szCs w:val="21"/>
    </w:rPr>
  </w:style>
  <w:style w:type="paragraph" w:customStyle="1" w:styleId="134">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6">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7">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9">
    <w:name w:val="1"/>
    <w:basedOn w:val="1"/>
    <w:next w:val="19"/>
    <w:qFormat/>
    <w:uiPriority w:val="0"/>
    <w:rPr>
      <w:rFonts w:ascii="宋体" w:hAnsi="Courier New"/>
      <w:szCs w:val="20"/>
    </w:rPr>
  </w:style>
  <w:style w:type="paragraph" w:customStyle="1" w:styleId="140">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2">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4">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6">
    <w:name w:val="2"/>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47">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8">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9">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50">
    <w:name w:val="Char Char Char Char1"/>
    <w:basedOn w:val="1"/>
    <w:qFormat/>
    <w:uiPriority w:val="0"/>
    <w:pPr>
      <w:widowControl/>
      <w:spacing w:after="160" w:line="240" w:lineRule="exact"/>
      <w:jc w:val="center"/>
    </w:pPr>
  </w:style>
  <w:style w:type="paragraph" w:customStyle="1" w:styleId="151">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2">
    <w:name w:val="4"/>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53">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4">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6">
    <w:name w:val="缺省文本"/>
    <w:basedOn w:val="1"/>
    <w:qFormat/>
    <w:uiPriority w:val="0"/>
    <w:pPr>
      <w:autoSpaceDE w:val="0"/>
      <w:autoSpaceDN w:val="0"/>
      <w:adjustRightInd w:val="0"/>
      <w:jc w:val="left"/>
    </w:pPr>
    <w:rPr>
      <w:kern w:val="0"/>
      <w:sz w:val="24"/>
    </w:rPr>
  </w:style>
  <w:style w:type="paragraph" w:customStyle="1" w:styleId="157">
    <w:name w:val="_Style 140"/>
    <w:basedOn w:val="1"/>
    <w:next w:val="75"/>
    <w:qFormat/>
    <w:uiPriority w:val="99"/>
    <w:pPr>
      <w:ind w:left="720"/>
      <w:contextualSpacing/>
    </w:pPr>
    <w:rPr>
      <w:rFonts w:ascii="Calibri" w:hAnsi="Calibri"/>
    </w:rPr>
  </w:style>
  <w:style w:type="paragraph" w:customStyle="1" w:styleId="158">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6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1">
    <w:name w:val="Char Char Char Char Char Char Char"/>
    <w:basedOn w:val="1"/>
    <w:qFormat/>
    <w:uiPriority w:val="0"/>
    <w:pPr>
      <w:widowControl/>
      <w:spacing w:after="160" w:line="240" w:lineRule="exact"/>
      <w:jc w:val="left"/>
    </w:pPr>
  </w:style>
  <w:style w:type="paragraph" w:customStyle="1" w:styleId="1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3">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5">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6">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7">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8">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70">
    <w:name w:val="5"/>
    <w:basedOn w:val="1"/>
    <w:next w:val="19"/>
    <w:qFormat/>
    <w:uiPriority w:val="0"/>
    <w:rPr>
      <w:rFonts w:ascii="宋体" w:hAnsi="Courier New"/>
      <w:szCs w:val="20"/>
    </w:rPr>
  </w:style>
  <w:style w:type="paragraph" w:customStyle="1" w:styleId="171">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3">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6">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7">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8">
    <w:name w:val="p15"/>
    <w:basedOn w:val="1"/>
    <w:qFormat/>
    <w:uiPriority w:val="0"/>
    <w:pPr>
      <w:widowControl/>
      <w:ind w:firstLine="420"/>
    </w:pPr>
    <w:rPr>
      <w:rFonts w:ascii="Calibri" w:hAnsi="Calibri" w:cs="宋体"/>
      <w:kern w:val="0"/>
      <w:szCs w:val="21"/>
    </w:rPr>
  </w:style>
  <w:style w:type="paragraph" w:customStyle="1" w:styleId="179">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tyleName="APA Fifth Edition"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4572</Words>
  <Characters>4714</Characters>
  <Lines>19</Lines>
  <Paragraphs>5</Paragraphs>
  <TotalTime>3</TotalTime>
  <ScaleCrop>false</ScaleCrop>
  <LinksUpToDate>false</LinksUpToDate>
  <CharactersWithSpaces>5100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2021-08-04T02:06:00Z</dcterms:created>
  <dc:creator>co</dc:creator>
  <cp:lastModifiedBy>布邦特</cp:lastModifiedBy>
  <cp:lastPrinted>2019-05-23T22:38:00Z</cp:lastPrinted>
  <dcterms:modified xsi:type="dcterms:W3CDTF">2026-08-12T02:29:11Z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027854CD5F2D801E3C53BF696D3C2837_43</vt:lpwstr>
  </property>
  <property fmtid="{D5CDD505-2E9C-101B-9397-08002B2CF9AE}" pid="4" name="KSOTemplateDocerSaveRecord">
    <vt:lpwstr>eyJoZGlkIjoiYjg0ODgxMzg4ODEyOTJlMDkxNGQ4NjQ1OGFmNWMxYmMiLCJ1c2VySWQiOiI5MzM0MzE0MjkifQ==</vt:lpwstr>
  </property>
</Properties>
</file>